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DEE1A2">
      <w:pPr>
        <w:jc w:val="right"/>
        <w:rPr>
          <w:rFonts w:hint="eastAsia" w:ascii="宋体" w:hAnsi="宋体" w:eastAsia="宋体" w:cs="宋体"/>
          <w:b/>
          <w:sz w:val="21"/>
          <w:szCs w:val="21"/>
        </w:rPr>
      </w:pPr>
    </w:p>
    <w:p w14:paraId="31E088B4">
      <w:pPr>
        <w:pStyle w:val="16"/>
        <w:ind w:firstLine="480"/>
        <w:rPr>
          <w:rFonts w:hint="eastAsia" w:ascii="宋体" w:hAnsi="宋体" w:eastAsia="宋体" w:cs="宋体"/>
        </w:rPr>
      </w:pPr>
    </w:p>
    <w:p w14:paraId="1E403969">
      <w:pPr>
        <w:jc w:val="center"/>
        <w:rPr>
          <w:rFonts w:hint="eastAsia" w:ascii="宋体" w:hAnsi="宋体" w:eastAsia="宋体" w:cs="宋体"/>
          <w:color w:val="000000"/>
          <w:sz w:val="48"/>
          <w:szCs w:val="48"/>
        </w:rPr>
      </w:pPr>
    </w:p>
    <w:p w14:paraId="7FA44140">
      <w:pPr>
        <w:spacing w:before="156" w:beforeLines="50" w:after="156" w:afterLines="50" w:line="720" w:lineRule="auto"/>
        <w:jc w:val="center"/>
        <w:rPr>
          <w:rFonts w:hint="eastAsia" w:ascii="宋体" w:hAnsi="宋体" w:eastAsia="宋体" w:cs="宋体"/>
          <w:b/>
          <w:color w:val="000000"/>
          <w:sz w:val="40"/>
          <w:szCs w:val="40"/>
          <w:lang w:eastAsia="zh-CN"/>
        </w:rPr>
      </w:pPr>
      <w:r>
        <w:rPr>
          <w:rFonts w:hint="eastAsia" w:ascii="宋体" w:hAnsi="宋体" w:cs="宋体"/>
          <w:b/>
          <w:color w:val="000000"/>
          <w:sz w:val="40"/>
          <w:szCs w:val="40"/>
          <w:lang w:eastAsia="zh-CN"/>
        </w:rPr>
        <w:t>和县经济开发区污水处理厂及配套管网工程项目</w:t>
      </w:r>
      <w:r>
        <w:rPr>
          <w:rFonts w:hint="eastAsia" w:ascii="宋体" w:hAnsi="宋体" w:cs="宋体"/>
          <w:b/>
          <w:color w:val="000000"/>
          <w:sz w:val="40"/>
          <w:szCs w:val="40"/>
          <w:lang w:val="en-US" w:eastAsia="zh-CN"/>
        </w:rPr>
        <w:t>一期二阶段</w:t>
      </w:r>
      <w:r>
        <w:rPr>
          <w:rFonts w:hint="eastAsia" w:ascii="宋体" w:hAnsi="宋体" w:cs="宋体"/>
          <w:b/>
          <w:color w:val="000000"/>
          <w:sz w:val="40"/>
          <w:szCs w:val="40"/>
          <w:lang w:eastAsia="zh-CN"/>
        </w:rPr>
        <w:t>竣工环境保护验收监测报告</w:t>
      </w:r>
    </w:p>
    <w:p w14:paraId="23DB2381">
      <w:pPr>
        <w:ind w:firstLine="480"/>
        <w:rPr>
          <w:rFonts w:hint="eastAsia" w:ascii="宋体" w:hAnsi="宋体" w:eastAsia="宋体" w:cs="宋体"/>
        </w:rPr>
      </w:pPr>
    </w:p>
    <w:p w14:paraId="2F01147A">
      <w:pPr>
        <w:pStyle w:val="16"/>
        <w:ind w:firstLine="480"/>
        <w:rPr>
          <w:rFonts w:hint="eastAsia" w:ascii="宋体" w:hAnsi="宋体" w:eastAsia="宋体" w:cs="宋体"/>
          <w:color w:val="FF0000"/>
        </w:rPr>
      </w:pPr>
    </w:p>
    <w:p w14:paraId="4821C2B5">
      <w:pPr>
        <w:pStyle w:val="16"/>
        <w:ind w:firstLine="480"/>
        <w:rPr>
          <w:rFonts w:hint="eastAsia" w:ascii="宋体" w:hAnsi="宋体" w:eastAsia="宋体" w:cs="宋体"/>
          <w:color w:val="FF0000"/>
        </w:rPr>
      </w:pPr>
    </w:p>
    <w:p w14:paraId="4A25F740">
      <w:pPr>
        <w:pStyle w:val="16"/>
        <w:ind w:firstLine="480"/>
        <w:rPr>
          <w:rFonts w:hint="eastAsia" w:ascii="宋体" w:hAnsi="宋体" w:eastAsia="宋体" w:cs="宋体"/>
          <w:color w:val="FF0000"/>
        </w:rPr>
      </w:pPr>
    </w:p>
    <w:p w14:paraId="11619EFD">
      <w:pPr>
        <w:pStyle w:val="16"/>
        <w:ind w:firstLine="480"/>
        <w:rPr>
          <w:rFonts w:hint="eastAsia" w:ascii="宋体" w:hAnsi="宋体" w:eastAsia="宋体" w:cs="宋体"/>
          <w:color w:val="FF0000"/>
        </w:rPr>
      </w:pPr>
    </w:p>
    <w:p w14:paraId="3464C4A3">
      <w:pPr>
        <w:pStyle w:val="16"/>
        <w:ind w:firstLine="480"/>
        <w:rPr>
          <w:rFonts w:hint="eastAsia" w:ascii="宋体" w:hAnsi="宋体" w:eastAsia="宋体" w:cs="宋体"/>
          <w:color w:val="FF0000"/>
        </w:rPr>
      </w:pPr>
    </w:p>
    <w:p w14:paraId="1CB31500">
      <w:pPr>
        <w:ind w:firstLine="1124" w:firstLineChars="400"/>
        <w:jc w:val="both"/>
        <w:rPr>
          <w:rFonts w:hint="eastAsia" w:ascii="宋体" w:hAnsi="宋体" w:eastAsia="宋体" w:cs="宋体"/>
          <w:b/>
          <w:sz w:val="28"/>
          <w:lang w:eastAsia="zh-CN"/>
        </w:rPr>
      </w:pPr>
      <w:r>
        <w:rPr>
          <w:rFonts w:hint="eastAsia" w:ascii="宋体" w:hAnsi="宋体" w:eastAsia="宋体" w:cs="宋体"/>
          <w:b/>
          <w:color w:val="000000"/>
          <w:sz w:val="28"/>
        </w:rPr>
        <w:t>建设单位：</w:t>
      </w:r>
      <w:r>
        <w:rPr>
          <w:rFonts w:hint="eastAsia" w:ascii="宋体" w:hAnsi="宋体" w:cs="宋体"/>
          <w:b/>
          <w:color w:val="000000"/>
          <w:sz w:val="28"/>
          <w:lang w:eastAsia="zh-CN"/>
        </w:rPr>
        <w:t>和县三峡水环境综合治理有限责任公司</w:t>
      </w:r>
    </w:p>
    <w:p w14:paraId="2F7AC871">
      <w:pPr>
        <w:ind w:firstLine="1124" w:firstLineChars="400"/>
        <w:jc w:val="both"/>
        <w:rPr>
          <w:rFonts w:hint="eastAsia" w:ascii="宋体" w:hAnsi="宋体" w:eastAsia="宋体" w:cs="宋体"/>
          <w:b/>
          <w:sz w:val="28"/>
          <w:lang w:eastAsia="zh-CN"/>
        </w:rPr>
      </w:pPr>
      <w:r>
        <w:rPr>
          <w:rFonts w:hint="eastAsia" w:ascii="宋体" w:hAnsi="宋体" w:eastAsia="宋体" w:cs="宋体"/>
          <w:b/>
          <w:sz w:val="28"/>
        </w:rPr>
        <w:t>编制单位：</w:t>
      </w:r>
      <w:r>
        <w:rPr>
          <w:rFonts w:hint="eastAsia" w:ascii="宋体" w:hAnsi="宋体" w:cs="宋体"/>
          <w:b/>
          <w:sz w:val="28"/>
          <w:lang w:eastAsia="zh-CN"/>
        </w:rPr>
        <w:t>马鞍山诚宇环保科技有限公司</w:t>
      </w:r>
    </w:p>
    <w:p w14:paraId="6EF77AA5">
      <w:pPr>
        <w:pStyle w:val="16"/>
        <w:jc w:val="center"/>
        <w:rPr>
          <w:rFonts w:hint="eastAsia" w:ascii="宋体" w:hAnsi="宋体" w:eastAsia="宋体" w:cs="宋体"/>
          <w:color w:val="FF0000"/>
        </w:rPr>
      </w:pPr>
      <w:r>
        <w:rPr>
          <w:rFonts w:hint="eastAsia" w:ascii="宋体" w:hAnsi="宋体" w:eastAsia="宋体" w:cs="宋体"/>
          <w:b/>
          <w:color w:val="000000"/>
        </w:rPr>
        <w:t>202</w:t>
      </w:r>
      <w:r>
        <w:rPr>
          <w:rFonts w:hint="eastAsia" w:ascii="宋体" w:hAnsi="宋体" w:eastAsia="宋体" w:cs="宋体"/>
          <w:b/>
          <w:color w:val="000000"/>
          <w:lang w:val="en-US" w:eastAsia="zh-CN"/>
        </w:rPr>
        <w:t>5</w:t>
      </w:r>
      <w:r>
        <w:rPr>
          <w:rFonts w:hint="eastAsia" w:ascii="宋体" w:hAnsi="宋体" w:eastAsia="宋体" w:cs="宋体"/>
          <w:b/>
          <w:color w:val="000000"/>
        </w:rPr>
        <w:t>年</w:t>
      </w:r>
      <w:r>
        <w:rPr>
          <w:rFonts w:hint="eastAsia" w:ascii="宋体" w:hAnsi="宋体" w:eastAsia="宋体" w:cs="宋体"/>
          <w:b/>
          <w:color w:val="000000"/>
          <w:lang w:val="en-US" w:eastAsia="zh-CN"/>
        </w:rPr>
        <w:t>3</w:t>
      </w:r>
      <w:bookmarkStart w:id="85" w:name="_GoBack"/>
      <w:bookmarkEnd w:id="85"/>
      <w:r>
        <w:rPr>
          <w:rFonts w:hint="eastAsia" w:ascii="宋体" w:hAnsi="宋体" w:eastAsia="宋体" w:cs="宋体"/>
          <w:b/>
          <w:color w:val="000000"/>
        </w:rPr>
        <w:t>月</w:t>
      </w:r>
    </w:p>
    <w:p w14:paraId="7ADF3CBE">
      <w:pPr>
        <w:pStyle w:val="16"/>
        <w:ind w:firstLine="480"/>
        <w:rPr>
          <w:rFonts w:hint="eastAsia" w:ascii="宋体" w:hAnsi="宋体" w:eastAsia="宋体" w:cs="宋体"/>
          <w:color w:val="FF0000"/>
        </w:rPr>
      </w:pPr>
    </w:p>
    <w:p w14:paraId="717A10D8">
      <w:pPr>
        <w:spacing w:line="720" w:lineRule="auto"/>
        <w:ind w:firstLine="964" w:firstLineChars="300"/>
        <w:rPr>
          <w:rFonts w:hint="eastAsia" w:ascii="宋体" w:hAnsi="宋体" w:eastAsia="宋体" w:cs="宋体"/>
          <w:b/>
          <w:color w:val="000000"/>
          <w:sz w:val="32"/>
          <w:szCs w:val="32"/>
        </w:rPr>
        <w:sectPr>
          <w:headerReference r:id="rId3" w:type="default"/>
          <w:pgSz w:w="11906" w:h="16838"/>
          <w:pgMar w:top="1440" w:right="1803" w:bottom="1440" w:left="1803" w:header="851" w:footer="992" w:gutter="0"/>
          <w:pgBorders w:offsetFrom="page">
            <w:top w:val="none" w:sz="0" w:space="0"/>
            <w:left w:val="none" w:sz="0" w:space="0"/>
            <w:bottom w:val="none" w:sz="0" w:space="0"/>
            <w:right w:val="none" w:sz="0" w:space="0"/>
          </w:pgBorders>
          <w:pgNumType w:start="1"/>
          <w:cols w:space="0" w:num="1"/>
          <w:rtlGutter w:val="0"/>
          <w:docGrid w:type="lines" w:linePitch="312" w:charSpace="0"/>
        </w:sectPr>
      </w:pPr>
    </w:p>
    <w:p w14:paraId="34D7908A">
      <w:pPr>
        <w:ind w:firstLine="482"/>
        <w:outlineLvl w:val="9"/>
        <w:rPr>
          <w:rFonts w:hint="eastAsia" w:ascii="宋体" w:hAnsi="宋体" w:eastAsia="宋体" w:cs="宋体"/>
        </w:rPr>
      </w:pPr>
    </w:p>
    <w:p w14:paraId="56D354B8">
      <w:pPr>
        <w:spacing w:line="720" w:lineRule="auto"/>
        <w:rPr>
          <w:rFonts w:hint="eastAsia" w:ascii="宋体" w:hAnsi="宋体" w:eastAsia="宋体" w:cs="宋体"/>
          <w:b/>
          <w:color w:val="000000"/>
          <w:sz w:val="32"/>
          <w:szCs w:val="32"/>
          <w:lang w:eastAsia="zh-CN"/>
        </w:rPr>
      </w:pPr>
      <w:r>
        <w:rPr>
          <w:rFonts w:hint="eastAsia" w:ascii="宋体" w:hAnsi="宋体" w:eastAsia="宋体" w:cs="宋体"/>
          <w:b/>
          <w:color w:val="000000"/>
          <w:sz w:val="32"/>
          <w:szCs w:val="32"/>
        </w:rPr>
        <w:t>建设单位法人代表：</w:t>
      </w:r>
      <w:r>
        <w:rPr>
          <w:rFonts w:hint="eastAsia" w:ascii="宋体" w:hAnsi="宋体" w:eastAsia="宋体" w:cs="宋体"/>
          <w:b/>
          <w:color w:val="000000"/>
          <w:sz w:val="32"/>
          <w:szCs w:val="32"/>
        </w:rPr>
        <w:tab/>
      </w:r>
    </w:p>
    <w:p w14:paraId="263B2F04">
      <w:pPr>
        <w:spacing w:line="720" w:lineRule="auto"/>
        <w:rPr>
          <w:rFonts w:hint="eastAsia" w:ascii="宋体" w:hAnsi="宋体" w:eastAsia="宋体" w:cs="宋体"/>
          <w:b/>
          <w:color w:val="000000"/>
          <w:sz w:val="32"/>
          <w:szCs w:val="32"/>
          <w:lang w:eastAsia="zh-CN"/>
        </w:rPr>
      </w:pPr>
      <w:r>
        <w:rPr>
          <w:rFonts w:hint="eastAsia" w:ascii="宋体" w:hAnsi="宋体" w:eastAsia="宋体" w:cs="宋体"/>
          <w:b/>
          <w:color w:val="000000"/>
          <w:sz w:val="32"/>
          <w:szCs w:val="32"/>
        </w:rPr>
        <w:t>编制单位法人代表：</w:t>
      </w:r>
      <w:r>
        <w:rPr>
          <w:rFonts w:hint="eastAsia" w:ascii="宋体" w:hAnsi="宋体" w:eastAsia="宋体" w:cs="宋体"/>
          <w:b/>
          <w:color w:val="000000"/>
          <w:sz w:val="32"/>
          <w:szCs w:val="32"/>
        </w:rPr>
        <w:tab/>
      </w:r>
    </w:p>
    <w:p w14:paraId="6AAEA3AF">
      <w:pPr>
        <w:spacing w:line="720" w:lineRule="auto"/>
        <w:rPr>
          <w:rFonts w:hint="eastAsia" w:ascii="宋体" w:hAnsi="宋体" w:eastAsia="宋体" w:cs="宋体"/>
          <w:b/>
          <w:color w:val="000000"/>
          <w:sz w:val="32"/>
          <w:szCs w:val="32"/>
        </w:rPr>
      </w:pPr>
      <w:r>
        <w:rPr>
          <w:rFonts w:hint="eastAsia" w:ascii="宋体" w:hAnsi="宋体" w:eastAsia="宋体" w:cs="宋体"/>
          <w:b/>
          <w:color w:val="000000"/>
          <w:sz w:val="32"/>
          <w:szCs w:val="32"/>
        </w:rPr>
        <w:t>项目负责人：</w:t>
      </w:r>
    </w:p>
    <w:p w14:paraId="3CA13AC1">
      <w:pPr>
        <w:spacing w:line="720" w:lineRule="auto"/>
        <w:jc w:val="left"/>
        <w:rPr>
          <w:rFonts w:hint="eastAsia" w:ascii="宋体" w:hAnsi="宋体" w:eastAsia="宋体" w:cs="宋体"/>
          <w:b/>
          <w:color w:val="000000"/>
          <w:spacing w:val="7"/>
          <w:w w:val="79"/>
          <w:sz w:val="32"/>
          <w:szCs w:val="32"/>
        </w:rPr>
      </w:pPr>
      <w:r>
        <w:rPr>
          <w:rFonts w:hint="eastAsia" w:ascii="宋体" w:hAnsi="宋体" w:eastAsia="宋体" w:cs="宋体"/>
          <w:b/>
          <w:color w:val="000000"/>
          <w:sz w:val="32"/>
          <w:szCs w:val="32"/>
          <w:lang w:val="en-US" w:eastAsia="zh-CN"/>
        </w:rPr>
        <w:t>编写</w:t>
      </w:r>
      <w:r>
        <w:rPr>
          <w:rFonts w:hint="eastAsia" w:ascii="宋体" w:hAnsi="宋体" w:eastAsia="宋体" w:cs="宋体"/>
          <w:b/>
          <w:color w:val="000000"/>
          <w:sz w:val="32"/>
          <w:szCs w:val="32"/>
        </w:rPr>
        <w:t>人：</w:t>
      </w:r>
    </w:p>
    <w:p w14:paraId="6203011C">
      <w:pPr>
        <w:ind w:firstLine="560"/>
        <w:jc w:val="left"/>
        <w:rPr>
          <w:rFonts w:hint="eastAsia" w:ascii="宋体" w:hAnsi="宋体" w:eastAsia="宋体" w:cs="宋体"/>
          <w:color w:val="000000"/>
          <w:sz w:val="28"/>
        </w:rPr>
      </w:pPr>
    </w:p>
    <w:p w14:paraId="40DF29F4">
      <w:pPr>
        <w:ind w:firstLine="560"/>
        <w:jc w:val="left"/>
        <w:rPr>
          <w:rFonts w:hint="eastAsia" w:ascii="宋体" w:hAnsi="宋体" w:eastAsia="宋体" w:cs="宋体"/>
          <w:color w:val="000000"/>
          <w:sz w:val="28"/>
        </w:rPr>
      </w:pPr>
    </w:p>
    <w:p w14:paraId="0536CF15">
      <w:pPr>
        <w:ind w:firstLine="560"/>
        <w:jc w:val="left"/>
        <w:rPr>
          <w:rFonts w:hint="eastAsia" w:ascii="宋体" w:hAnsi="宋体" w:eastAsia="宋体" w:cs="宋体"/>
          <w:color w:val="000000"/>
          <w:sz w:val="28"/>
        </w:rPr>
      </w:pPr>
    </w:p>
    <w:p w14:paraId="19AE2C97">
      <w:pPr>
        <w:pStyle w:val="16"/>
        <w:jc w:val="left"/>
        <w:rPr>
          <w:rFonts w:hint="eastAsia" w:ascii="宋体" w:hAnsi="宋体" w:eastAsia="宋体" w:cs="宋体"/>
        </w:rPr>
      </w:pPr>
    </w:p>
    <w:p w14:paraId="4771A23F">
      <w:pPr>
        <w:tabs>
          <w:tab w:val="left" w:pos="984"/>
        </w:tabs>
        <w:rPr>
          <w:rFonts w:hint="eastAsia" w:ascii="宋体" w:hAnsi="宋体" w:eastAsia="宋体" w:cs="宋体"/>
          <w:color w:val="000000"/>
          <w:sz w:val="28"/>
        </w:rPr>
      </w:pPr>
    </w:p>
    <w:p w14:paraId="7B4176E6">
      <w:pPr>
        <w:rPr>
          <w:rFonts w:hint="eastAsia" w:ascii="宋体" w:hAnsi="宋体" w:eastAsia="宋体" w:cs="宋体"/>
          <w:color w:val="000000"/>
          <w:sz w:val="28"/>
        </w:rPr>
      </w:pPr>
    </w:p>
    <w:tbl>
      <w:tblPr>
        <w:tblStyle w:val="19"/>
        <w:tblpPr w:leftFromText="180" w:rightFromText="180" w:vertAnchor="text" w:horzAnchor="page" w:tblpX="1800" w:tblpY="828"/>
        <w:tblOverlap w:val="never"/>
        <w:tblW w:w="0" w:type="auto"/>
        <w:tblInd w:w="0" w:type="dxa"/>
        <w:tblLayout w:type="fixed"/>
        <w:tblCellMar>
          <w:top w:w="0" w:type="dxa"/>
          <w:left w:w="108" w:type="dxa"/>
          <w:bottom w:w="0" w:type="dxa"/>
          <w:right w:w="108" w:type="dxa"/>
        </w:tblCellMar>
      </w:tblPr>
      <w:tblGrid>
        <w:gridCol w:w="4261"/>
        <w:gridCol w:w="4261"/>
      </w:tblGrid>
      <w:tr w14:paraId="1A564046">
        <w:tblPrEx>
          <w:tblCellMar>
            <w:top w:w="0" w:type="dxa"/>
            <w:left w:w="108" w:type="dxa"/>
            <w:bottom w:w="0" w:type="dxa"/>
            <w:right w:w="108" w:type="dxa"/>
          </w:tblCellMar>
        </w:tblPrEx>
        <w:tc>
          <w:tcPr>
            <w:tcW w:w="4261" w:type="dxa"/>
          </w:tcPr>
          <w:p w14:paraId="63AF3DBE">
            <w:pPr>
              <w:spacing w:before="40" w:after="40"/>
              <w:contextualSpacing/>
              <w:jc w:val="left"/>
              <w:rPr>
                <w:rFonts w:hint="eastAsia" w:ascii="宋体" w:hAnsi="宋体" w:eastAsia="宋体" w:cs="宋体"/>
                <w:b/>
                <w:sz w:val="21"/>
                <w:szCs w:val="21"/>
              </w:rPr>
            </w:pPr>
            <w:r>
              <w:rPr>
                <w:rFonts w:hint="eastAsia" w:ascii="宋体" w:hAnsi="宋体" w:eastAsia="宋体" w:cs="宋体"/>
                <w:b/>
                <w:bCs/>
                <w:sz w:val="21"/>
                <w:szCs w:val="21"/>
              </w:rPr>
              <w:t>建设单位（盖章）：</w:t>
            </w:r>
            <w:r>
              <w:rPr>
                <w:rFonts w:hint="eastAsia" w:ascii="宋体" w:hAnsi="宋体" w:cs="宋体"/>
                <w:b/>
                <w:bCs/>
                <w:sz w:val="21"/>
                <w:szCs w:val="21"/>
                <w:lang w:eastAsia="zh-CN"/>
              </w:rPr>
              <w:t>和县三峡水环境综合治理有限责任公司</w:t>
            </w:r>
          </w:p>
        </w:tc>
        <w:tc>
          <w:tcPr>
            <w:tcW w:w="4261" w:type="dxa"/>
          </w:tcPr>
          <w:p w14:paraId="5B704876">
            <w:pPr>
              <w:spacing w:before="40" w:after="40"/>
              <w:contextualSpacing/>
              <w:jc w:val="left"/>
              <w:rPr>
                <w:rFonts w:hint="eastAsia" w:ascii="宋体" w:hAnsi="宋体" w:eastAsia="宋体" w:cs="宋体"/>
                <w:b/>
                <w:sz w:val="21"/>
                <w:szCs w:val="21"/>
                <w:lang w:eastAsia="zh-CN"/>
              </w:rPr>
            </w:pPr>
            <w:r>
              <w:rPr>
                <w:rFonts w:hint="eastAsia" w:ascii="宋体" w:hAnsi="宋体" w:eastAsia="宋体" w:cs="宋体"/>
                <w:b/>
                <w:bCs/>
                <w:sz w:val="21"/>
                <w:szCs w:val="21"/>
              </w:rPr>
              <w:t>编制单位（盖章）：</w:t>
            </w:r>
            <w:r>
              <w:rPr>
                <w:rFonts w:hint="eastAsia" w:ascii="宋体" w:hAnsi="宋体" w:cs="宋体"/>
                <w:b/>
                <w:bCs/>
                <w:sz w:val="21"/>
                <w:szCs w:val="21"/>
                <w:lang w:eastAsia="zh-CN"/>
              </w:rPr>
              <w:t>马鞍山诚宇环保科技有限公司</w:t>
            </w:r>
          </w:p>
        </w:tc>
      </w:tr>
      <w:tr w14:paraId="7EAC6DB6">
        <w:tblPrEx>
          <w:tblCellMar>
            <w:top w:w="0" w:type="dxa"/>
            <w:left w:w="108" w:type="dxa"/>
            <w:bottom w:w="0" w:type="dxa"/>
            <w:right w:w="108" w:type="dxa"/>
          </w:tblCellMar>
        </w:tblPrEx>
        <w:tc>
          <w:tcPr>
            <w:tcW w:w="4261" w:type="dxa"/>
          </w:tcPr>
          <w:p w14:paraId="008EAE44">
            <w:pPr>
              <w:spacing w:before="40" w:after="40"/>
              <w:rPr>
                <w:rFonts w:hint="eastAsia" w:ascii="宋体" w:hAnsi="宋体" w:eastAsia="宋体" w:cs="宋体"/>
                <w:b/>
                <w:bCs/>
                <w:sz w:val="21"/>
                <w:szCs w:val="21"/>
              </w:rPr>
            </w:pPr>
            <w:r>
              <w:rPr>
                <w:rFonts w:hint="eastAsia" w:ascii="宋体" w:hAnsi="宋体" w:eastAsia="宋体" w:cs="宋体"/>
                <w:b/>
                <w:bCs/>
                <w:sz w:val="21"/>
                <w:szCs w:val="21"/>
              </w:rPr>
              <w:t>电话：</w:t>
            </w:r>
          </w:p>
        </w:tc>
        <w:tc>
          <w:tcPr>
            <w:tcW w:w="4261" w:type="dxa"/>
          </w:tcPr>
          <w:p w14:paraId="18452F0E">
            <w:pPr>
              <w:spacing w:before="40" w:after="40"/>
              <w:rPr>
                <w:rFonts w:hint="eastAsia" w:ascii="宋体" w:hAnsi="宋体" w:eastAsia="宋体" w:cs="宋体"/>
                <w:sz w:val="21"/>
                <w:szCs w:val="21"/>
              </w:rPr>
            </w:pPr>
            <w:r>
              <w:rPr>
                <w:rFonts w:hint="eastAsia" w:ascii="宋体" w:hAnsi="宋体" w:eastAsia="宋体" w:cs="宋体"/>
                <w:b/>
                <w:bCs/>
                <w:sz w:val="21"/>
                <w:szCs w:val="21"/>
              </w:rPr>
              <w:t>电话：</w:t>
            </w:r>
          </w:p>
        </w:tc>
      </w:tr>
      <w:tr w14:paraId="2FA12417">
        <w:tblPrEx>
          <w:tblCellMar>
            <w:top w:w="0" w:type="dxa"/>
            <w:left w:w="108" w:type="dxa"/>
            <w:bottom w:w="0" w:type="dxa"/>
            <w:right w:w="108" w:type="dxa"/>
          </w:tblCellMar>
        </w:tblPrEx>
        <w:trPr>
          <w:trHeight w:val="90" w:hRule="atLeast"/>
        </w:trPr>
        <w:tc>
          <w:tcPr>
            <w:tcW w:w="4261" w:type="dxa"/>
          </w:tcPr>
          <w:p w14:paraId="415EEB88">
            <w:pPr>
              <w:spacing w:before="40" w:after="40"/>
              <w:rPr>
                <w:rFonts w:hint="eastAsia" w:ascii="宋体" w:hAnsi="宋体" w:eastAsia="宋体" w:cs="宋体"/>
                <w:sz w:val="21"/>
                <w:szCs w:val="21"/>
              </w:rPr>
            </w:pPr>
            <w:r>
              <w:rPr>
                <w:rFonts w:hint="eastAsia" w:ascii="宋体" w:hAnsi="宋体" w:eastAsia="宋体" w:cs="宋体"/>
                <w:b/>
                <w:bCs/>
                <w:sz w:val="21"/>
                <w:szCs w:val="21"/>
              </w:rPr>
              <w:t>传真：</w:t>
            </w:r>
          </w:p>
        </w:tc>
        <w:tc>
          <w:tcPr>
            <w:tcW w:w="4261" w:type="dxa"/>
          </w:tcPr>
          <w:p w14:paraId="4F711D3A">
            <w:pPr>
              <w:spacing w:before="40" w:after="40"/>
              <w:rPr>
                <w:rFonts w:hint="eastAsia" w:ascii="宋体" w:hAnsi="宋体" w:eastAsia="宋体" w:cs="宋体"/>
                <w:sz w:val="21"/>
                <w:szCs w:val="21"/>
              </w:rPr>
            </w:pPr>
            <w:r>
              <w:rPr>
                <w:rFonts w:hint="eastAsia" w:ascii="宋体" w:hAnsi="宋体" w:eastAsia="宋体" w:cs="宋体"/>
                <w:b/>
                <w:bCs/>
                <w:sz w:val="21"/>
                <w:szCs w:val="21"/>
              </w:rPr>
              <w:t>传真：</w:t>
            </w:r>
          </w:p>
        </w:tc>
      </w:tr>
      <w:tr w14:paraId="24E94B0E">
        <w:tblPrEx>
          <w:tblCellMar>
            <w:top w:w="0" w:type="dxa"/>
            <w:left w:w="108" w:type="dxa"/>
            <w:bottom w:w="0" w:type="dxa"/>
            <w:right w:w="108" w:type="dxa"/>
          </w:tblCellMar>
        </w:tblPrEx>
        <w:tc>
          <w:tcPr>
            <w:tcW w:w="4261" w:type="dxa"/>
          </w:tcPr>
          <w:p w14:paraId="593C13A7">
            <w:pPr>
              <w:spacing w:before="40" w:after="40"/>
              <w:rPr>
                <w:rFonts w:hint="eastAsia" w:ascii="宋体" w:hAnsi="宋体" w:eastAsia="宋体" w:cs="宋体"/>
                <w:sz w:val="21"/>
                <w:szCs w:val="21"/>
              </w:rPr>
            </w:pPr>
            <w:r>
              <w:rPr>
                <w:rFonts w:hint="eastAsia" w:ascii="宋体" w:hAnsi="宋体" w:eastAsia="宋体" w:cs="宋体"/>
                <w:b/>
                <w:bCs/>
                <w:sz w:val="21"/>
                <w:szCs w:val="21"/>
              </w:rPr>
              <w:t>邮编：</w:t>
            </w:r>
          </w:p>
        </w:tc>
        <w:tc>
          <w:tcPr>
            <w:tcW w:w="4261" w:type="dxa"/>
          </w:tcPr>
          <w:p w14:paraId="0CEE5661">
            <w:pPr>
              <w:spacing w:before="40" w:after="40"/>
              <w:rPr>
                <w:rFonts w:hint="eastAsia" w:ascii="宋体" w:hAnsi="宋体" w:eastAsia="宋体" w:cs="宋体"/>
                <w:sz w:val="21"/>
                <w:szCs w:val="21"/>
              </w:rPr>
            </w:pPr>
            <w:r>
              <w:rPr>
                <w:rFonts w:hint="eastAsia" w:ascii="宋体" w:hAnsi="宋体" w:eastAsia="宋体" w:cs="宋体"/>
                <w:b/>
                <w:bCs/>
                <w:sz w:val="21"/>
                <w:szCs w:val="21"/>
              </w:rPr>
              <w:t>邮编：</w:t>
            </w:r>
          </w:p>
        </w:tc>
      </w:tr>
      <w:tr w14:paraId="1B5555A1">
        <w:tblPrEx>
          <w:tblCellMar>
            <w:top w:w="0" w:type="dxa"/>
            <w:left w:w="108" w:type="dxa"/>
            <w:bottom w:w="0" w:type="dxa"/>
            <w:right w:w="108" w:type="dxa"/>
          </w:tblCellMar>
        </w:tblPrEx>
        <w:tc>
          <w:tcPr>
            <w:tcW w:w="4261" w:type="dxa"/>
          </w:tcPr>
          <w:p w14:paraId="155D4016">
            <w:pPr>
              <w:spacing w:before="40" w:after="40"/>
              <w:jc w:val="left"/>
              <w:rPr>
                <w:rFonts w:hint="eastAsia" w:ascii="宋体" w:hAnsi="宋体" w:eastAsia="宋体" w:cs="宋体"/>
                <w:sz w:val="21"/>
                <w:szCs w:val="21"/>
              </w:rPr>
            </w:pPr>
            <w:r>
              <w:rPr>
                <w:rFonts w:hint="eastAsia" w:ascii="宋体" w:hAnsi="宋体" w:eastAsia="宋体" w:cs="宋体"/>
                <w:b/>
                <w:bCs/>
                <w:sz w:val="21"/>
                <w:szCs w:val="21"/>
              </w:rPr>
              <w:t>地址：</w:t>
            </w:r>
          </w:p>
        </w:tc>
        <w:tc>
          <w:tcPr>
            <w:tcW w:w="4261" w:type="dxa"/>
          </w:tcPr>
          <w:p w14:paraId="02B6B660">
            <w:pPr>
              <w:spacing w:before="40" w:after="40"/>
              <w:rPr>
                <w:rFonts w:hint="eastAsia" w:ascii="宋体" w:hAnsi="宋体" w:eastAsia="宋体" w:cs="宋体"/>
                <w:sz w:val="21"/>
                <w:szCs w:val="21"/>
              </w:rPr>
            </w:pPr>
            <w:r>
              <w:rPr>
                <w:rFonts w:hint="eastAsia" w:ascii="宋体" w:hAnsi="宋体" w:eastAsia="宋体" w:cs="宋体"/>
                <w:b/>
                <w:bCs/>
                <w:sz w:val="21"/>
                <w:szCs w:val="21"/>
              </w:rPr>
              <w:t>地址：</w:t>
            </w:r>
          </w:p>
        </w:tc>
      </w:tr>
    </w:tbl>
    <w:p w14:paraId="4C01392A">
      <w:pPr>
        <w:pStyle w:val="16"/>
        <w:ind w:firstLine="480"/>
        <w:rPr>
          <w:rFonts w:hint="eastAsia" w:ascii="宋体" w:hAnsi="宋体" w:eastAsia="宋体" w:cs="宋体"/>
        </w:rPr>
        <w:sectPr>
          <w:footerReference r:id="rId4" w:type="default"/>
          <w:pgSz w:w="11906" w:h="16838"/>
          <w:pgMar w:top="1440" w:right="1803" w:bottom="1440" w:left="1803" w:header="851" w:footer="992" w:gutter="0"/>
          <w:pgBorders w:offsetFrom="page">
            <w:top w:val="none" w:sz="0" w:space="0"/>
            <w:left w:val="none" w:sz="0" w:space="0"/>
            <w:bottom w:val="none" w:sz="0" w:space="0"/>
            <w:right w:val="none" w:sz="0" w:space="0"/>
          </w:pgBorders>
          <w:pgNumType w:start="1"/>
          <w:cols w:space="0" w:num="1"/>
          <w:rtlGutter w:val="0"/>
          <w:docGrid w:type="lines" w:linePitch="312" w:charSpace="0"/>
        </w:sectPr>
      </w:pPr>
    </w:p>
    <w:p w14:paraId="3214028A">
      <w:pPr>
        <w:pStyle w:val="2"/>
        <w:ind w:left="0" w:leftChars="0"/>
        <w:jc w:val="center"/>
        <w:rPr>
          <w:rFonts w:hint="eastAsia" w:ascii="宋体" w:hAnsi="宋体" w:eastAsia="宋体" w:cs="宋体"/>
          <w:b/>
          <w:bCs/>
          <w:sz w:val="36"/>
          <w:szCs w:val="36"/>
          <w:u w:val="double"/>
        </w:rPr>
      </w:pPr>
      <w:r>
        <w:rPr>
          <w:rFonts w:hint="eastAsia" w:ascii="宋体" w:hAnsi="宋体" w:eastAsia="宋体" w:cs="宋体"/>
          <w:b/>
          <w:bCs/>
          <w:sz w:val="36"/>
          <w:szCs w:val="36"/>
          <w:u w:val="double"/>
        </w:rPr>
        <w:t>目录</w:t>
      </w:r>
    </w:p>
    <w:p w14:paraId="5630561C">
      <w:pPr>
        <w:jc w:val="center"/>
        <w:rPr>
          <w:rFonts w:hint="eastAsia" w:ascii="宋体" w:hAnsi="宋体" w:eastAsia="宋体" w:cs="宋体"/>
        </w:rPr>
      </w:pPr>
    </w:p>
    <w:p w14:paraId="446BE504">
      <w:pPr>
        <w:pStyle w:val="13"/>
        <w:tabs>
          <w:tab w:val="right" w:leader="dot" w:pos="8300"/>
        </w:tabs>
        <w:spacing w:line="360" w:lineRule="auto"/>
        <w:rPr>
          <w:rFonts w:hint="eastAsia" w:ascii="宋体" w:hAnsi="宋体" w:eastAsia="宋体" w:cs="宋体"/>
          <w:b/>
          <w:bCs/>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\o "1-3" \h \u </w:instrText>
      </w:r>
      <w:r>
        <w:rPr>
          <w:rFonts w:hint="eastAsia" w:ascii="宋体" w:hAnsi="宋体" w:eastAsia="宋体" w:cs="宋体"/>
          <w:sz w:val="24"/>
          <w:szCs w:val="24"/>
        </w:rPr>
        <w:fldChar w:fldCharType="separate"/>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_Toc1770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1</w:t>
      </w:r>
      <w:r>
        <w:rPr>
          <w:rFonts w:hint="eastAsia" w:ascii="宋体" w:hAnsi="宋体" w:eastAsia="宋体" w:cs="宋体"/>
          <w:b/>
          <w:bCs/>
          <w:kern w:val="0"/>
          <w:sz w:val="24"/>
          <w:szCs w:val="24"/>
          <w:lang w:val="en-US" w:eastAsia="zh-CN" w:bidi="ar"/>
        </w:rPr>
        <w:t xml:space="preserve">.  </w:t>
      </w:r>
      <w:r>
        <w:rPr>
          <w:rFonts w:hint="eastAsia" w:ascii="宋体" w:hAnsi="宋体" w:eastAsia="宋体" w:cs="宋体"/>
          <w:b/>
          <w:bCs/>
          <w:sz w:val="24"/>
          <w:szCs w:val="24"/>
          <w:lang w:val="en-US" w:eastAsia="zh-CN"/>
        </w:rPr>
        <w:t>项目概况</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_Toc1770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40641F86">
      <w:pPr>
        <w:pStyle w:val="13"/>
        <w:tabs>
          <w:tab w:val="right" w:leader="dot" w:pos="8300"/>
        </w:tabs>
        <w:spacing w:line="36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_Toc26330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2</w:t>
      </w:r>
      <w:r>
        <w:rPr>
          <w:rFonts w:hint="eastAsia" w:ascii="宋体" w:hAnsi="宋体" w:eastAsia="宋体" w:cs="宋体"/>
          <w:b/>
          <w:bCs/>
          <w:kern w:val="0"/>
          <w:sz w:val="24"/>
          <w:szCs w:val="24"/>
          <w:lang w:val="en-US" w:eastAsia="zh-CN" w:bidi="ar"/>
        </w:rPr>
        <w:t xml:space="preserve">.  </w:t>
      </w:r>
      <w:r>
        <w:rPr>
          <w:rFonts w:hint="eastAsia" w:ascii="宋体" w:hAnsi="宋体" w:eastAsia="宋体" w:cs="宋体"/>
          <w:b/>
          <w:bCs/>
          <w:sz w:val="24"/>
          <w:szCs w:val="24"/>
          <w:lang w:val="en-US" w:eastAsia="zh-CN"/>
        </w:rPr>
        <w:t>验收依据</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_Toc26330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3</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49D5BE4B">
      <w:pPr>
        <w:pStyle w:val="14"/>
        <w:tabs>
          <w:tab w:val="right" w:leader="dot" w:pos="830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_Toc8991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val="en-US" w:eastAsia="zh-CN" w:bidi="ar"/>
        </w:rPr>
        <w:t>2.1  建设项目环境保护相关法律、法规和规章制度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_Toc8991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6B87ECD">
      <w:pPr>
        <w:pStyle w:val="14"/>
        <w:tabs>
          <w:tab w:val="right" w:leader="dot" w:pos="830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_Toc22148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val="en-US" w:eastAsia="zh-CN" w:bidi="ar"/>
        </w:rPr>
        <w:t>2.2  地方法规和文件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_Toc22148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C3A8D50">
      <w:pPr>
        <w:pStyle w:val="14"/>
        <w:tabs>
          <w:tab w:val="right" w:leader="dot" w:pos="830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_Toc20077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val="en-US" w:eastAsia="zh-CN" w:bidi="ar"/>
        </w:rPr>
        <w:t>2.3  建设项目竣工环境保护验收技术规范</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_Toc20077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2E90894">
      <w:pPr>
        <w:pStyle w:val="14"/>
        <w:tabs>
          <w:tab w:val="right" w:leader="dot" w:pos="830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_Toc4188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val="en-US" w:eastAsia="zh-CN" w:bidi="ar"/>
        </w:rPr>
        <w:t>2.4  建设项目环境影响报告书（表）及其审批部门审批决定</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_Toc4188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FE783C3">
      <w:pPr>
        <w:pStyle w:val="14"/>
        <w:tabs>
          <w:tab w:val="right" w:leader="dot" w:pos="830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_Toc28095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val="en-US" w:eastAsia="zh-CN" w:bidi="ar"/>
        </w:rPr>
        <w:t>2.5  其他相关文件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_Toc28095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2DC5634">
      <w:pPr>
        <w:pStyle w:val="13"/>
        <w:tabs>
          <w:tab w:val="right" w:leader="dot" w:pos="8300"/>
        </w:tabs>
        <w:spacing w:line="36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_Toc19316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3</w:t>
      </w:r>
      <w:r>
        <w:rPr>
          <w:rFonts w:hint="eastAsia" w:ascii="宋体" w:hAnsi="宋体" w:eastAsia="宋体" w:cs="宋体"/>
          <w:b/>
          <w:bCs/>
          <w:kern w:val="0"/>
          <w:sz w:val="24"/>
          <w:szCs w:val="24"/>
          <w:lang w:val="en-US" w:eastAsia="zh-CN" w:bidi="ar"/>
        </w:rPr>
        <w:t xml:space="preserve">.  </w:t>
      </w:r>
      <w:r>
        <w:rPr>
          <w:rFonts w:hint="eastAsia" w:ascii="宋体" w:hAnsi="宋体" w:eastAsia="宋体" w:cs="宋体"/>
          <w:b/>
          <w:bCs/>
          <w:sz w:val="24"/>
          <w:szCs w:val="24"/>
          <w:lang w:val="en-US" w:eastAsia="zh-CN"/>
        </w:rPr>
        <w:t>项目建设情况</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_Toc19316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6</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0DE98113">
      <w:pPr>
        <w:pStyle w:val="14"/>
        <w:tabs>
          <w:tab w:val="right" w:leader="dot" w:pos="830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_Toc29295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val="en-US" w:eastAsia="zh-CN" w:bidi="ar"/>
        </w:rPr>
        <w:t>3.1  地理位置及平面布置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_Toc29295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EE222FB">
      <w:pPr>
        <w:pStyle w:val="14"/>
        <w:tabs>
          <w:tab w:val="right" w:leader="dot" w:pos="830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_Toc23940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val="en-US" w:eastAsia="zh-CN" w:bidi="ar"/>
        </w:rPr>
        <w:t>3.2  建设内容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_Toc23940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CF0C2EE">
      <w:pPr>
        <w:pStyle w:val="14"/>
        <w:tabs>
          <w:tab w:val="right" w:leader="dot" w:pos="830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_Toc22113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val="en-US" w:eastAsia="zh-CN" w:bidi="ar"/>
        </w:rPr>
        <w:t>3.3  主要原辅材料及用量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_Toc22113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0686A73">
      <w:pPr>
        <w:pStyle w:val="14"/>
        <w:tabs>
          <w:tab w:val="right" w:leader="dot" w:pos="830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_Toc31071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val="en-US" w:eastAsia="zh-CN" w:bidi="ar"/>
        </w:rPr>
        <w:t>3.4  工作制度及劳动定员</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_Toc31071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D8B2F04">
      <w:pPr>
        <w:pStyle w:val="14"/>
        <w:tabs>
          <w:tab w:val="right" w:leader="dot" w:pos="830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_Toc7635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val="en-US" w:eastAsia="zh-CN" w:bidi="ar"/>
        </w:rPr>
        <w:t>3.5  公用工程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_Toc7635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7AEC666">
      <w:pPr>
        <w:pStyle w:val="14"/>
        <w:tabs>
          <w:tab w:val="right" w:leader="dot" w:pos="830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_Toc4408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val="en-US" w:eastAsia="zh-CN" w:bidi="ar"/>
        </w:rPr>
        <w:t>3.6  生产工艺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_Toc4408 \h </w:instrText>
      </w:r>
      <w:r>
        <w:rPr>
          <w:rFonts w:hint="eastAsia" w:ascii="宋体" w:hAnsi="宋体" w:eastAsia="宋体" w:cs="宋体"/>
          <w:sz w:val="24"/>
          <w:szCs w:val="24"/>
        </w:rPr>
        <w:fldChar w:fldCharType="separate"/>
      </w:r>
      <w:r>
        <w:rPr>
          <w:rFonts w:hint="eastAsia" w:ascii="宋体" w:hAnsi="宋体" w:eastAsia="宋体" w:cs="宋体"/>
          <w:sz w:val="24"/>
          <w:szCs w:val="24"/>
        </w:rPr>
        <w:t>22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9170032">
      <w:pPr>
        <w:pStyle w:val="14"/>
        <w:tabs>
          <w:tab w:val="right" w:leader="dot" w:pos="830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_Toc6960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val="en-US" w:eastAsia="zh-CN" w:bidi="ar"/>
        </w:rPr>
        <w:t>3.7 项目变动情况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_Toc6960 \h </w:instrText>
      </w:r>
      <w:r>
        <w:rPr>
          <w:rFonts w:hint="eastAsia" w:ascii="宋体" w:hAnsi="宋体" w:eastAsia="宋体" w:cs="宋体"/>
          <w:sz w:val="24"/>
          <w:szCs w:val="24"/>
        </w:rPr>
        <w:fldChar w:fldCharType="separate"/>
      </w:r>
      <w:r>
        <w:rPr>
          <w:rFonts w:hint="eastAsia"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2AC507F">
      <w:pPr>
        <w:pStyle w:val="13"/>
        <w:tabs>
          <w:tab w:val="right" w:leader="dot" w:pos="8300"/>
        </w:tabs>
        <w:spacing w:line="36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_Toc24384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4</w:t>
      </w:r>
      <w:r>
        <w:rPr>
          <w:rFonts w:hint="eastAsia" w:ascii="宋体" w:hAnsi="宋体" w:eastAsia="宋体" w:cs="宋体"/>
          <w:b/>
          <w:bCs/>
          <w:kern w:val="0"/>
          <w:sz w:val="24"/>
          <w:szCs w:val="24"/>
          <w:lang w:val="en-US" w:eastAsia="zh-CN" w:bidi="ar"/>
        </w:rPr>
        <w:t>.</w:t>
      </w:r>
      <w:r>
        <w:rPr>
          <w:rFonts w:hint="eastAsia" w:ascii="宋体" w:hAnsi="宋体" w:eastAsia="宋体" w:cs="宋体"/>
          <w:b/>
          <w:bCs/>
          <w:sz w:val="24"/>
          <w:szCs w:val="24"/>
          <w:lang w:val="en-US" w:eastAsia="zh-CN"/>
        </w:rPr>
        <w:t xml:space="preserve">  环境保护设施</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_Toc24384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28</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60450FEC">
      <w:pPr>
        <w:pStyle w:val="14"/>
        <w:tabs>
          <w:tab w:val="right" w:leader="dot" w:pos="830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_Toc5852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val="en-US" w:eastAsia="zh-CN" w:bidi="ar"/>
        </w:rPr>
        <w:t>4.1  污染物治理/处置设施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_Toc5852 \h </w:instrText>
      </w:r>
      <w:r>
        <w:rPr>
          <w:rFonts w:hint="eastAsia" w:ascii="宋体" w:hAnsi="宋体" w:eastAsia="宋体" w:cs="宋体"/>
          <w:sz w:val="24"/>
          <w:szCs w:val="24"/>
        </w:rPr>
        <w:fldChar w:fldCharType="separate"/>
      </w:r>
      <w:r>
        <w:rPr>
          <w:rFonts w:hint="eastAsia" w:ascii="宋体" w:hAnsi="宋体" w:eastAsia="宋体" w:cs="宋体"/>
          <w:sz w:val="24"/>
          <w:szCs w:val="24"/>
        </w:rPr>
        <w:t>28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DCAB228">
      <w:pPr>
        <w:pStyle w:val="14"/>
        <w:tabs>
          <w:tab w:val="right" w:leader="dot" w:pos="830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_Toc4396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val="en-US" w:eastAsia="zh-CN" w:bidi="ar"/>
        </w:rPr>
        <w:t>4.2  地下水污染控制措施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_Toc4396 \h </w:instrText>
      </w:r>
      <w:r>
        <w:rPr>
          <w:rFonts w:hint="eastAsia" w:ascii="宋体" w:hAnsi="宋体" w:eastAsia="宋体" w:cs="宋体"/>
          <w:sz w:val="24"/>
          <w:szCs w:val="24"/>
        </w:rPr>
        <w:fldChar w:fldCharType="separate"/>
      </w:r>
      <w:r>
        <w:rPr>
          <w:rFonts w:hint="eastAsia" w:ascii="宋体" w:hAnsi="宋体" w:eastAsia="宋体" w:cs="宋体"/>
          <w:sz w:val="24"/>
          <w:szCs w:val="24"/>
        </w:rPr>
        <w:t>30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232C065">
      <w:pPr>
        <w:pStyle w:val="14"/>
        <w:tabs>
          <w:tab w:val="right" w:leader="dot" w:pos="830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_Toc18513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val="en-US" w:eastAsia="zh-CN" w:bidi="ar"/>
        </w:rPr>
        <w:t>4.3  土壤污染防治措施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_Toc18513 \h </w:instrText>
      </w:r>
      <w:r>
        <w:rPr>
          <w:rFonts w:hint="eastAsia" w:ascii="宋体" w:hAnsi="宋体" w:eastAsia="宋体" w:cs="宋体"/>
          <w:sz w:val="24"/>
          <w:szCs w:val="24"/>
        </w:rPr>
        <w:fldChar w:fldCharType="separate"/>
      </w:r>
      <w:r>
        <w:rPr>
          <w:rFonts w:hint="eastAsia" w:ascii="宋体" w:hAnsi="宋体" w:eastAsia="宋体" w:cs="宋体"/>
          <w:sz w:val="24"/>
          <w:szCs w:val="24"/>
        </w:rPr>
        <w:t>31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44C0FA3">
      <w:pPr>
        <w:pStyle w:val="14"/>
        <w:tabs>
          <w:tab w:val="right" w:leader="dot" w:pos="830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_Toc16159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val="en-US" w:eastAsia="zh-CN" w:bidi="ar"/>
        </w:rPr>
        <w:t>4.4  环境风险防范措施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_Toc16159 \h </w:instrText>
      </w:r>
      <w:r>
        <w:rPr>
          <w:rFonts w:hint="eastAsia" w:ascii="宋体" w:hAnsi="宋体" w:eastAsia="宋体" w:cs="宋体"/>
          <w:sz w:val="24"/>
          <w:szCs w:val="24"/>
        </w:rPr>
        <w:fldChar w:fldCharType="separate"/>
      </w:r>
      <w:r>
        <w:rPr>
          <w:rFonts w:hint="eastAsia" w:ascii="宋体" w:hAnsi="宋体" w:eastAsia="宋体" w:cs="宋体"/>
          <w:sz w:val="24"/>
          <w:szCs w:val="24"/>
        </w:rPr>
        <w:t>31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68F1375">
      <w:pPr>
        <w:pStyle w:val="14"/>
        <w:tabs>
          <w:tab w:val="right" w:leader="dot" w:pos="830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_Toc32238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val="en-US" w:eastAsia="zh-CN" w:bidi="ar"/>
        </w:rPr>
        <w:t>4.5  其他环境保护设施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_Toc32238 \h </w:instrText>
      </w:r>
      <w:r>
        <w:rPr>
          <w:rFonts w:hint="eastAsia" w:ascii="宋体" w:hAnsi="宋体" w:eastAsia="宋体" w:cs="宋体"/>
          <w:sz w:val="24"/>
          <w:szCs w:val="24"/>
        </w:rPr>
        <w:fldChar w:fldCharType="separate"/>
      </w:r>
      <w:r>
        <w:rPr>
          <w:rFonts w:hint="eastAsia" w:ascii="宋体" w:hAnsi="宋体" w:eastAsia="宋体" w:cs="宋体"/>
          <w:sz w:val="24"/>
          <w:szCs w:val="24"/>
        </w:rPr>
        <w:t>31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4774FD4">
      <w:pPr>
        <w:pStyle w:val="14"/>
        <w:tabs>
          <w:tab w:val="right" w:leader="dot" w:pos="830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_Toc23324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val="en-US" w:eastAsia="zh-CN" w:bidi="ar"/>
        </w:rPr>
        <w:t>4.6  环保“三同时”落实情况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_Toc23324 \h </w:instrText>
      </w:r>
      <w:r>
        <w:rPr>
          <w:rFonts w:hint="eastAsia" w:ascii="宋体" w:hAnsi="宋体" w:eastAsia="宋体" w:cs="宋体"/>
          <w:sz w:val="24"/>
          <w:szCs w:val="24"/>
        </w:rPr>
        <w:fldChar w:fldCharType="separate"/>
      </w:r>
      <w:r>
        <w:rPr>
          <w:rFonts w:hint="eastAsia" w:ascii="宋体" w:hAnsi="宋体" w:eastAsia="宋体" w:cs="宋体"/>
          <w:sz w:val="24"/>
          <w:szCs w:val="24"/>
        </w:rPr>
        <w:t>31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3125502">
      <w:pPr>
        <w:pStyle w:val="13"/>
        <w:tabs>
          <w:tab w:val="right" w:leader="dot" w:pos="8300"/>
        </w:tabs>
        <w:spacing w:line="36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_Toc19209 </w:instrText>
      </w:r>
      <w:r>
        <w:rPr>
          <w:rFonts w:hint="eastAsia" w:ascii="宋体" w:hAnsi="宋体" w:eastAsia="宋体" w:cs="宋体"/>
          <w:b/>
          <w:bCs/>
          <w:sz w:val="24"/>
          <w:szCs w:val="24"/>
        </w:rPr>
        <w:fldChar w:fldCharType="separate"/>
      </w:r>
      <w:r>
        <w:rPr>
          <w:rFonts w:hint="eastAsia" w:ascii="宋体" w:hAnsi="宋体" w:eastAsia="宋体" w:cs="宋体"/>
          <w:b/>
          <w:bCs/>
          <w:kern w:val="0"/>
          <w:sz w:val="24"/>
          <w:szCs w:val="24"/>
          <w:lang w:val="en-US" w:eastAsia="zh-CN" w:bidi="ar"/>
        </w:rPr>
        <w:t>5.  环境影响报告书（表）主要结论与建议及其审批部门审批决定</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_Toc19209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35</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08D556B2">
      <w:pPr>
        <w:pStyle w:val="14"/>
        <w:tabs>
          <w:tab w:val="right" w:leader="dot" w:pos="830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_Toc4292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val="en-US" w:eastAsia="zh-CN" w:bidi="ar"/>
        </w:rPr>
        <w:t>5.1  环境影响报告书（表）主要结论与建议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_Toc4292 \h </w:instrText>
      </w:r>
      <w:r>
        <w:rPr>
          <w:rFonts w:hint="eastAsia" w:ascii="宋体" w:hAnsi="宋体" w:eastAsia="宋体" w:cs="宋体"/>
          <w:sz w:val="24"/>
          <w:szCs w:val="24"/>
        </w:rPr>
        <w:fldChar w:fldCharType="separate"/>
      </w:r>
      <w:r>
        <w:rPr>
          <w:rFonts w:hint="eastAsia" w:ascii="宋体" w:hAnsi="宋体" w:eastAsia="宋体" w:cs="宋体"/>
          <w:sz w:val="24"/>
          <w:szCs w:val="24"/>
        </w:rPr>
        <w:t>35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899EDBC">
      <w:pPr>
        <w:pStyle w:val="14"/>
        <w:tabs>
          <w:tab w:val="right" w:leader="dot" w:pos="830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_Toc2435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val="en-US" w:eastAsia="zh-CN" w:bidi="ar"/>
        </w:rPr>
        <w:t>5.2 审批部门审批意见</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_Toc2435 \h </w:instrText>
      </w:r>
      <w:r>
        <w:rPr>
          <w:rFonts w:hint="eastAsia" w:ascii="宋体" w:hAnsi="宋体" w:eastAsia="宋体" w:cs="宋体"/>
          <w:sz w:val="24"/>
          <w:szCs w:val="24"/>
        </w:rPr>
        <w:fldChar w:fldCharType="separate"/>
      </w:r>
      <w:r>
        <w:rPr>
          <w:rFonts w:hint="eastAsia" w:ascii="宋体" w:hAnsi="宋体" w:eastAsia="宋体" w:cs="宋体"/>
          <w:sz w:val="24"/>
          <w:szCs w:val="24"/>
        </w:rPr>
        <w:t>41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5F2186C">
      <w:pPr>
        <w:pStyle w:val="13"/>
        <w:tabs>
          <w:tab w:val="right" w:leader="dot" w:pos="8300"/>
        </w:tabs>
        <w:spacing w:line="36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_Toc25124 </w:instrText>
      </w:r>
      <w:r>
        <w:rPr>
          <w:rFonts w:hint="eastAsia" w:ascii="宋体" w:hAnsi="宋体" w:eastAsia="宋体" w:cs="宋体"/>
          <w:b/>
          <w:bCs/>
          <w:sz w:val="24"/>
          <w:szCs w:val="24"/>
        </w:rPr>
        <w:fldChar w:fldCharType="separate"/>
      </w:r>
      <w:r>
        <w:rPr>
          <w:rFonts w:hint="eastAsia" w:ascii="宋体" w:hAnsi="宋体" w:eastAsia="宋体" w:cs="宋体"/>
          <w:b/>
          <w:bCs/>
          <w:kern w:val="0"/>
          <w:sz w:val="24"/>
          <w:szCs w:val="24"/>
          <w:lang w:val="en-US" w:eastAsia="zh-CN" w:bidi="ar"/>
        </w:rPr>
        <w:t>6.  验收执行标准</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_Toc25124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46</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35AB5EE4">
      <w:pPr>
        <w:pStyle w:val="14"/>
        <w:tabs>
          <w:tab w:val="right" w:leader="dot" w:pos="830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_Toc28053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val="en-US" w:eastAsia="zh-CN" w:bidi="ar"/>
        </w:rPr>
        <w:t>6.1  环境空气</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_Toc28053 \h </w:instrText>
      </w:r>
      <w:r>
        <w:rPr>
          <w:rFonts w:hint="eastAsia" w:ascii="宋体" w:hAnsi="宋体" w:eastAsia="宋体" w:cs="宋体"/>
          <w:sz w:val="24"/>
          <w:szCs w:val="24"/>
        </w:rPr>
        <w:fldChar w:fldCharType="separate"/>
      </w:r>
      <w:r>
        <w:rPr>
          <w:rFonts w:hint="eastAsia" w:ascii="宋体" w:hAnsi="宋体" w:eastAsia="宋体" w:cs="宋体"/>
          <w:sz w:val="24"/>
          <w:szCs w:val="24"/>
        </w:rPr>
        <w:t>46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FED555D">
      <w:pPr>
        <w:pStyle w:val="14"/>
        <w:tabs>
          <w:tab w:val="right" w:leader="dot" w:pos="830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_Toc12662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val="en-US" w:eastAsia="zh-CN" w:bidi="ar"/>
        </w:rPr>
        <w:t>6.2  废气</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_Toc12662 \h </w:instrText>
      </w:r>
      <w:r>
        <w:rPr>
          <w:rFonts w:hint="eastAsia" w:ascii="宋体" w:hAnsi="宋体" w:eastAsia="宋体" w:cs="宋体"/>
          <w:sz w:val="24"/>
          <w:szCs w:val="24"/>
        </w:rPr>
        <w:fldChar w:fldCharType="separate"/>
      </w:r>
      <w:r>
        <w:rPr>
          <w:rFonts w:hint="eastAsia" w:ascii="宋体" w:hAnsi="宋体" w:eastAsia="宋体" w:cs="宋体"/>
          <w:sz w:val="24"/>
          <w:szCs w:val="24"/>
        </w:rPr>
        <w:t>46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C1A53DD">
      <w:pPr>
        <w:pStyle w:val="14"/>
        <w:tabs>
          <w:tab w:val="right" w:leader="dot" w:pos="830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_Toc167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val="en-US" w:eastAsia="zh-CN" w:bidi="ar"/>
        </w:rPr>
        <w:t>6.3  废水</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_Toc167 \h </w:instrText>
      </w:r>
      <w:r>
        <w:rPr>
          <w:rFonts w:hint="eastAsia" w:ascii="宋体" w:hAnsi="宋体" w:eastAsia="宋体" w:cs="宋体"/>
          <w:sz w:val="24"/>
          <w:szCs w:val="24"/>
        </w:rPr>
        <w:fldChar w:fldCharType="separate"/>
      </w:r>
      <w:r>
        <w:rPr>
          <w:rFonts w:hint="eastAsia" w:ascii="宋体" w:hAnsi="宋体" w:eastAsia="宋体" w:cs="宋体"/>
          <w:sz w:val="24"/>
          <w:szCs w:val="24"/>
        </w:rPr>
        <w:t>46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7D52938">
      <w:pPr>
        <w:pStyle w:val="14"/>
        <w:tabs>
          <w:tab w:val="right" w:leader="dot" w:pos="830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_Toc6733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val="en-US" w:eastAsia="zh-CN" w:bidi="ar"/>
        </w:rPr>
        <w:t>6.5  地下水</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_Toc6733 \h </w:instrText>
      </w:r>
      <w:r>
        <w:rPr>
          <w:rFonts w:hint="eastAsia" w:ascii="宋体" w:hAnsi="宋体" w:eastAsia="宋体" w:cs="宋体"/>
          <w:sz w:val="24"/>
          <w:szCs w:val="24"/>
        </w:rPr>
        <w:fldChar w:fldCharType="separate"/>
      </w:r>
      <w:r>
        <w:rPr>
          <w:rFonts w:hint="eastAsia" w:ascii="宋体" w:hAnsi="宋体" w:eastAsia="宋体" w:cs="宋体"/>
          <w:sz w:val="24"/>
          <w:szCs w:val="24"/>
        </w:rPr>
        <w:t>47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1B29C6B">
      <w:pPr>
        <w:pStyle w:val="13"/>
        <w:tabs>
          <w:tab w:val="right" w:leader="dot" w:pos="8300"/>
        </w:tabs>
        <w:spacing w:line="36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_Toc28830 </w:instrText>
      </w:r>
      <w:r>
        <w:rPr>
          <w:rFonts w:hint="eastAsia" w:ascii="宋体" w:hAnsi="宋体" w:eastAsia="宋体" w:cs="宋体"/>
          <w:b/>
          <w:bCs/>
          <w:sz w:val="24"/>
          <w:szCs w:val="24"/>
        </w:rPr>
        <w:fldChar w:fldCharType="separate"/>
      </w:r>
      <w:r>
        <w:rPr>
          <w:rFonts w:hint="eastAsia" w:ascii="宋体" w:hAnsi="宋体" w:eastAsia="宋体" w:cs="宋体"/>
          <w:b/>
          <w:bCs/>
          <w:kern w:val="0"/>
          <w:sz w:val="24"/>
          <w:szCs w:val="24"/>
          <w:lang w:val="en-US" w:eastAsia="zh-CN" w:bidi="ar"/>
        </w:rPr>
        <w:t>7.  验收监测内容</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_Toc28830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48</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00E01500">
      <w:pPr>
        <w:pStyle w:val="14"/>
        <w:tabs>
          <w:tab w:val="right" w:leader="dot" w:pos="830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_Toc6415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val="en-US" w:eastAsia="zh-CN" w:bidi="ar"/>
        </w:rPr>
        <w:t>7.1  环境保护设施调试运行效果</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_Toc6415 \h </w:instrText>
      </w:r>
      <w:r>
        <w:rPr>
          <w:rFonts w:hint="eastAsia" w:ascii="宋体" w:hAnsi="宋体" w:eastAsia="宋体" w:cs="宋体"/>
          <w:sz w:val="24"/>
          <w:szCs w:val="24"/>
        </w:rPr>
        <w:fldChar w:fldCharType="separate"/>
      </w:r>
      <w:r>
        <w:rPr>
          <w:rFonts w:hint="eastAsia" w:ascii="宋体" w:hAnsi="宋体" w:eastAsia="宋体" w:cs="宋体"/>
          <w:sz w:val="24"/>
          <w:szCs w:val="24"/>
        </w:rPr>
        <w:t>48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124ABC7">
      <w:pPr>
        <w:pStyle w:val="14"/>
        <w:tabs>
          <w:tab w:val="right" w:leader="dot" w:pos="830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_Toc7676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val="en-US" w:eastAsia="zh-CN" w:bidi="ar"/>
        </w:rPr>
        <w:t>7.2  废水、地下水</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_Toc7676 \h </w:instrText>
      </w:r>
      <w:r>
        <w:rPr>
          <w:rFonts w:hint="eastAsia" w:ascii="宋体" w:hAnsi="宋体" w:eastAsia="宋体" w:cs="宋体"/>
          <w:sz w:val="24"/>
          <w:szCs w:val="24"/>
        </w:rPr>
        <w:fldChar w:fldCharType="separate"/>
      </w:r>
      <w:r>
        <w:rPr>
          <w:rFonts w:hint="eastAsia" w:ascii="宋体" w:hAnsi="宋体" w:eastAsia="宋体" w:cs="宋体"/>
          <w:sz w:val="24"/>
          <w:szCs w:val="24"/>
        </w:rPr>
        <w:t>48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F830698">
      <w:pPr>
        <w:pStyle w:val="14"/>
        <w:tabs>
          <w:tab w:val="right" w:leader="dot" w:pos="830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_Toc21285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val="en-US" w:eastAsia="zh-CN" w:bidi="ar"/>
        </w:rPr>
        <w:t>7.3  废气</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_Toc21285 \h </w:instrText>
      </w:r>
      <w:r>
        <w:rPr>
          <w:rFonts w:hint="eastAsia" w:ascii="宋体" w:hAnsi="宋体" w:eastAsia="宋体" w:cs="宋体"/>
          <w:sz w:val="24"/>
          <w:szCs w:val="24"/>
        </w:rPr>
        <w:fldChar w:fldCharType="separate"/>
      </w:r>
      <w:r>
        <w:rPr>
          <w:rFonts w:hint="eastAsia" w:ascii="宋体" w:hAnsi="宋体" w:eastAsia="宋体" w:cs="宋体"/>
          <w:sz w:val="24"/>
          <w:szCs w:val="24"/>
        </w:rPr>
        <w:t>48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EB07E9C">
      <w:pPr>
        <w:pStyle w:val="14"/>
        <w:tabs>
          <w:tab w:val="right" w:leader="dot" w:pos="830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_Toc27596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val="en-US" w:eastAsia="zh-CN" w:bidi="ar"/>
        </w:rPr>
        <w:t>7.4  噪声</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_Toc27596 \h </w:instrText>
      </w:r>
      <w:r>
        <w:rPr>
          <w:rFonts w:hint="eastAsia" w:ascii="宋体" w:hAnsi="宋体" w:eastAsia="宋体" w:cs="宋体"/>
          <w:sz w:val="24"/>
          <w:szCs w:val="24"/>
        </w:rPr>
        <w:fldChar w:fldCharType="separate"/>
      </w:r>
      <w:r>
        <w:rPr>
          <w:rFonts w:hint="eastAsia" w:ascii="宋体" w:hAnsi="宋体" w:eastAsia="宋体" w:cs="宋体"/>
          <w:sz w:val="24"/>
          <w:szCs w:val="24"/>
        </w:rPr>
        <w:t>48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65094A9">
      <w:pPr>
        <w:pStyle w:val="14"/>
        <w:tabs>
          <w:tab w:val="right" w:leader="dot" w:pos="830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_Toc11688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val="en-US" w:eastAsia="zh-CN" w:bidi="ar"/>
        </w:rPr>
        <w:t>7.5  固（液）体废物监测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_Toc11688 \h </w:instrText>
      </w:r>
      <w:r>
        <w:rPr>
          <w:rFonts w:hint="eastAsia" w:ascii="宋体" w:hAnsi="宋体" w:eastAsia="宋体" w:cs="宋体"/>
          <w:sz w:val="24"/>
          <w:szCs w:val="24"/>
        </w:rPr>
        <w:fldChar w:fldCharType="separate"/>
      </w:r>
      <w:r>
        <w:rPr>
          <w:rFonts w:hint="eastAsia" w:ascii="宋体" w:hAnsi="宋体" w:eastAsia="宋体" w:cs="宋体"/>
          <w:sz w:val="24"/>
          <w:szCs w:val="24"/>
        </w:rPr>
        <w:t>49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DD563AF">
      <w:pPr>
        <w:pStyle w:val="14"/>
        <w:tabs>
          <w:tab w:val="right" w:leader="dot" w:pos="830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_Toc26636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val="en-US" w:eastAsia="zh-CN" w:bidi="ar"/>
        </w:rPr>
        <w:t>7.6  辐射监测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_Toc26636 \h </w:instrText>
      </w:r>
      <w:r>
        <w:rPr>
          <w:rFonts w:hint="eastAsia" w:ascii="宋体" w:hAnsi="宋体" w:eastAsia="宋体" w:cs="宋体"/>
          <w:sz w:val="24"/>
          <w:szCs w:val="24"/>
        </w:rPr>
        <w:fldChar w:fldCharType="separate"/>
      </w:r>
      <w:r>
        <w:rPr>
          <w:rFonts w:hint="eastAsia" w:ascii="宋体" w:hAnsi="宋体" w:eastAsia="宋体" w:cs="宋体"/>
          <w:sz w:val="24"/>
          <w:szCs w:val="24"/>
        </w:rPr>
        <w:t>49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F8219D0">
      <w:pPr>
        <w:pStyle w:val="14"/>
        <w:tabs>
          <w:tab w:val="right" w:leader="dot" w:pos="830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_Toc3747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val="en-US" w:eastAsia="zh-CN" w:bidi="ar"/>
        </w:rPr>
        <w:t>7.7  环境质量监测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_Toc3747 \h </w:instrText>
      </w:r>
      <w:r>
        <w:rPr>
          <w:rFonts w:hint="eastAsia" w:ascii="宋体" w:hAnsi="宋体" w:eastAsia="宋体" w:cs="宋体"/>
          <w:sz w:val="24"/>
          <w:szCs w:val="24"/>
        </w:rPr>
        <w:fldChar w:fldCharType="separate"/>
      </w:r>
      <w:r>
        <w:rPr>
          <w:rFonts w:hint="eastAsia" w:ascii="宋体" w:hAnsi="宋体" w:eastAsia="宋体" w:cs="宋体"/>
          <w:sz w:val="24"/>
          <w:szCs w:val="24"/>
        </w:rPr>
        <w:t>49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A684E16">
      <w:pPr>
        <w:pStyle w:val="13"/>
        <w:tabs>
          <w:tab w:val="right" w:leader="dot" w:pos="8300"/>
        </w:tabs>
        <w:spacing w:line="36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_Toc22663 </w:instrText>
      </w:r>
      <w:r>
        <w:rPr>
          <w:rFonts w:hint="eastAsia" w:ascii="宋体" w:hAnsi="宋体" w:eastAsia="宋体" w:cs="宋体"/>
          <w:b/>
          <w:bCs/>
          <w:sz w:val="24"/>
          <w:szCs w:val="24"/>
        </w:rPr>
        <w:fldChar w:fldCharType="separate"/>
      </w:r>
      <w:r>
        <w:rPr>
          <w:rFonts w:hint="eastAsia" w:ascii="宋体" w:hAnsi="宋体" w:eastAsia="宋体" w:cs="宋体"/>
          <w:b/>
          <w:bCs/>
          <w:kern w:val="0"/>
          <w:sz w:val="24"/>
          <w:szCs w:val="24"/>
          <w:lang w:val="en-US" w:eastAsia="zh-CN" w:bidi="ar"/>
        </w:rPr>
        <w:t>8.  质量保证和质量控制</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_Toc22663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50</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0F34BE72">
      <w:pPr>
        <w:pStyle w:val="14"/>
        <w:tabs>
          <w:tab w:val="right" w:leader="dot" w:pos="830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_Toc17685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val="en-US" w:eastAsia="zh-CN" w:bidi="ar"/>
        </w:rPr>
        <w:t>8.1  监测分析方法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_Toc17685 \h </w:instrText>
      </w:r>
      <w:r>
        <w:rPr>
          <w:rFonts w:hint="eastAsia" w:ascii="宋体" w:hAnsi="宋体" w:eastAsia="宋体" w:cs="宋体"/>
          <w:sz w:val="24"/>
          <w:szCs w:val="24"/>
        </w:rPr>
        <w:fldChar w:fldCharType="separate"/>
      </w:r>
      <w:r>
        <w:rPr>
          <w:rFonts w:hint="eastAsia" w:ascii="宋体" w:hAnsi="宋体" w:eastAsia="宋体" w:cs="宋体"/>
          <w:sz w:val="24"/>
          <w:szCs w:val="24"/>
        </w:rPr>
        <w:t>50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5AFCDFD">
      <w:pPr>
        <w:pStyle w:val="14"/>
        <w:tabs>
          <w:tab w:val="right" w:leader="dot" w:pos="830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_Toc16990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val="en-US" w:eastAsia="zh-CN" w:bidi="ar"/>
        </w:rPr>
        <w:t>8.2  监测质量保证和质量控制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_Toc16990 \h </w:instrText>
      </w:r>
      <w:r>
        <w:rPr>
          <w:rFonts w:hint="eastAsia" w:ascii="宋体" w:hAnsi="宋体" w:eastAsia="宋体" w:cs="宋体"/>
          <w:sz w:val="24"/>
          <w:szCs w:val="24"/>
        </w:rPr>
        <w:fldChar w:fldCharType="separate"/>
      </w:r>
      <w:r>
        <w:rPr>
          <w:rFonts w:hint="eastAsia" w:ascii="宋体" w:hAnsi="宋体" w:eastAsia="宋体" w:cs="宋体"/>
          <w:sz w:val="24"/>
          <w:szCs w:val="24"/>
        </w:rPr>
        <w:t>51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9B70A9D">
      <w:pPr>
        <w:pStyle w:val="13"/>
        <w:tabs>
          <w:tab w:val="right" w:leader="dot" w:pos="8300"/>
        </w:tabs>
        <w:spacing w:line="36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_Toc12540 </w:instrText>
      </w:r>
      <w:r>
        <w:rPr>
          <w:rFonts w:hint="eastAsia" w:ascii="宋体" w:hAnsi="宋体" w:eastAsia="宋体" w:cs="宋体"/>
          <w:b/>
          <w:bCs/>
          <w:sz w:val="24"/>
          <w:szCs w:val="24"/>
        </w:rPr>
        <w:fldChar w:fldCharType="separate"/>
      </w:r>
      <w:r>
        <w:rPr>
          <w:rFonts w:hint="eastAsia" w:ascii="宋体" w:hAnsi="宋体" w:eastAsia="宋体" w:cs="宋体"/>
          <w:b/>
          <w:bCs/>
          <w:kern w:val="0"/>
          <w:sz w:val="24"/>
          <w:szCs w:val="24"/>
          <w:lang w:val="en-US" w:eastAsia="zh-CN" w:bidi="ar"/>
        </w:rPr>
        <w:t>9.  验收监测结果及评价</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_Toc12540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53</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4C58CA41">
      <w:pPr>
        <w:pStyle w:val="14"/>
        <w:tabs>
          <w:tab w:val="right" w:leader="dot" w:pos="830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_Toc22186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val="en-US" w:eastAsia="zh-CN" w:bidi="ar"/>
        </w:rPr>
        <w:t>9.1  验收监测期间工况统计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_Toc22186 \h </w:instrText>
      </w:r>
      <w:r>
        <w:rPr>
          <w:rFonts w:hint="eastAsia" w:ascii="宋体" w:hAnsi="宋体" w:eastAsia="宋体" w:cs="宋体"/>
          <w:sz w:val="24"/>
          <w:szCs w:val="24"/>
        </w:rPr>
        <w:fldChar w:fldCharType="separate"/>
      </w:r>
      <w:r>
        <w:rPr>
          <w:rFonts w:hint="eastAsia" w:ascii="宋体" w:hAnsi="宋体" w:eastAsia="宋体" w:cs="宋体"/>
          <w:sz w:val="24"/>
          <w:szCs w:val="24"/>
        </w:rPr>
        <w:t>53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B8D696F">
      <w:pPr>
        <w:pStyle w:val="14"/>
        <w:tabs>
          <w:tab w:val="right" w:leader="dot" w:pos="830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_Toc23968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val="en-US" w:eastAsia="zh-CN" w:bidi="ar"/>
        </w:rPr>
        <w:t>9.2  废气监测结果及评价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_Toc23968 \h </w:instrText>
      </w:r>
      <w:r>
        <w:rPr>
          <w:rFonts w:hint="eastAsia" w:ascii="宋体" w:hAnsi="宋体" w:eastAsia="宋体" w:cs="宋体"/>
          <w:sz w:val="24"/>
          <w:szCs w:val="24"/>
        </w:rPr>
        <w:fldChar w:fldCharType="separate"/>
      </w:r>
      <w:r>
        <w:rPr>
          <w:rFonts w:hint="eastAsia" w:ascii="宋体" w:hAnsi="宋体" w:eastAsia="宋体" w:cs="宋体"/>
          <w:sz w:val="24"/>
          <w:szCs w:val="24"/>
        </w:rPr>
        <w:t>53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4872F8D">
      <w:pPr>
        <w:pStyle w:val="14"/>
        <w:tabs>
          <w:tab w:val="right" w:leader="dot" w:pos="830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_Toc5998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val="en-US" w:eastAsia="zh-CN" w:bidi="ar"/>
        </w:rPr>
        <w:t>9.3  废水监测结果及评价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_Toc5998 \h </w:instrText>
      </w:r>
      <w:r>
        <w:rPr>
          <w:rFonts w:hint="eastAsia" w:ascii="宋体" w:hAnsi="宋体" w:eastAsia="宋体" w:cs="宋体"/>
          <w:sz w:val="24"/>
          <w:szCs w:val="24"/>
        </w:rPr>
        <w:fldChar w:fldCharType="separate"/>
      </w:r>
      <w:r>
        <w:rPr>
          <w:rFonts w:hint="eastAsia" w:ascii="宋体" w:hAnsi="宋体" w:eastAsia="宋体" w:cs="宋体"/>
          <w:sz w:val="24"/>
          <w:szCs w:val="24"/>
        </w:rPr>
        <w:t>57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BB75FE1">
      <w:pPr>
        <w:pStyle w:val="14"/>
        <w:tabs>
          <w:tab w:val="right" w:leader="dot" w:pos="830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_Toc19913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val="en-US" w:eastAsia="zh-CN" w:bidi="ar"/>
        </w:rPr>
        <w:t>9.4  地下水</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_Toc19913 \h </w:instrText>
      </w:r>
      <w:r>
        <w:rPr>
          <w:rFonts w:hint="eastAsia" w:ascii="宋体" w:hAnsi="宋体" w:eastAsia="宋体" w:cs="宋体"/>
          <w:sz w:val="24"/>
          <w:szCs w:val="24"/>
        </w:rPr>
        <w:fldChar w:fldCharType="separate"/>
      </w:r>
      <w:r>
        <w:rPr>
          <w:rFonts w:hint="eastAsia" w:ascii="宋体" w:hAnsi="宋体" w:eastAsia="宋体" w:cs="宋体"/>
          <w:sz w:val="24"/>
          <w:szCs w:val="24"/>
        </w:rPr>
        <w:t>60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F1E15A1">
      <w:pPr>
        <w:pStyle w:val="14"/>
        <w:tabs>
          <w:tab w:val="right" w:leader="dot" w:pos="830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_Toc3987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val="en-US" w:eastAsia="zh-CN" w:bidi="ar"/>
        </w:rPr>
        <w:t>9.5  噪声监测结果及评价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_Toc3987 \h </w:instrText>
      </w:r>
      <w:r>
        <w:rPr>
          <w:rFonts w:hint="eastAsia" w:ascii="宋体" w:hAnsi="宋体" w:eastAsia="宋体" w:cs="宋体"/>
          <w:sz w:val="24"/>
          <w:szCs w:val="24"/>
        </w:rPr>
        <w:fldChar w:fldCharType="separate"/>
      </w:r>
      <w:r>
        <w:rPr>
          <w:rFonts w:hint="eastAsia" w:ascii="宋体" w:hAnsi="宋体" w:eastAsia="宋体" w:cs="宋体"/>
          <w:sz w:val="24"/>
          <w:szCs w:val="24"/>
        </w:rPr>
        <w:t>60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8816EE7">
      <w:pPr>
        <w:pStyle w:val="14"/>
        <w:tabs>
          <w:tab w:val="right" w:leader="dot" w:pos="830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_Toc11610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val="en-US" w:eastAsia="zh-CN" w:bidi="ar"/>
        </w:rPr>
        <w:t>9.6  污染物排放总量核算</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_Toc11610 \h </w:instrText>
      </w:r>
      <w:r>
        <w:rPr>
          <w:rFonts w:hint="eastAsia" w:ascii="宋体" w:hAnsi="宋体" w:eastAsia="宋体" w:cs="宋体"/>
          <w:sz w:val="24"/>
          <w:szCs w:val="24"/>
        </w:rPr>
        <w:fldChar w:fldCharType="separate"/>
      </w:r>
      <w:r>
        <w:rPr>
          <w:rFonts w:hint="eastAsia" w:ascii="宋体" w:hAnsi="宋体" w:eastAsia="宋体" w:cs="宋体"/>
          <w:sz w:val="24"/>
          <w:szCs w:val="24"/>
        </w:rPr>
        <w:t>61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571CE0D">
      <w:pPr>
        <w:pStyle w:val="13"/>
        <w:tabs>
          <w:tab w:val="right" w:leader="dot" w:pos="8300"/>
        </w:tabs>
        <w:spacing w:line="36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_Toc13698 </w:instrText>
      </w:r>
      <w:r>
        <w:rPr>
          <w:rFonts w:hint="eastAsia" w:ascii="宋体" w:hAnsi="宋体" w:eastAsia="宋体" w:cs="宋体"/>
          <w:b/>
          <w:bCs/>
          <w:sz w:val="24"/>
          <w:szCs w:val="24"/>
        </w:rPr>
        <w:fldChar w:fldCharType="separate"/>
      </w:r>
      <w:r>
        <w:rPr>
          <w:rFonts w:hint="eastAsia" w:ascii="宋体" w:hAnsi="宋体" w:eastAsia="宋体" w:cs="宋体"/>
          <w:b/>
          <w:bCs/>
          <w:kern w:val="0"/>
          <w:sz w:val="24"/>
          <w:szCs w:val="24"/>
          <w:lang w:val="en-US" w:eastAsia="zh-CN" w:bidi="ar"/>
        </w:rPr>
        <w:t>10.  环境管理检查</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_Toc13698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63</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749F34AC">
      <w:pPr>
        <w:pStyle w:val="14"/>
        <w:tabs>
          <w:tab w:val="right" w:leader="dot" w:pos="830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_Toc6080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val="en-US" w:eastAsia="zh-CN" w:bidi="ar"/>
        </w:rPr>
        <w:t>10.1  环保审批手续</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_Toc6080 \h </w:instrText>
      </w:r>
      <w:r>
        <w:rPr>
          <w:rFonts w:hint="eastAsia" w:ascii="宋体" w:hAnsi="宋体" w:eastAsia="宋体" w:cs="宋体"/>
          <w:sz w:val="24"/>
          <w:szCs w:val="24"/>
        </w:rPr>
        <w:fldChar w:fldCharType="separate"/>
      </w:r>
      <w:r>
        <w:rPr>
          <w:rFonts w:hint="eastAsia" w:ascii="宋体" w:hAnsi="宋体" w:eastAsia="宋体" w:cs="宋体"/>
          <w:sz w:val="24"/>
          <w:szCs w:val="24"/>
        </w:rPr>
        <w:t>63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CA64697">
      <w:pPr>
        <w:pStyle w:val="14"/>
        <w:tabs>
          <w:tab w:val="right" w:leader="dot" w:pos="830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_Toc25430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val="en-US" w:eastAsia="zh-CN" w:bidi="ar"/>
        </w:rPr>
        <w:t>10.2  环境管理制度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_Toc25430 \h </w:instrText>
      </w:r>
      <w:r>
        <w:rPr>
          <w:rFonts w:hint="eastAsia" w:ascii="宋体" w:hAnsi="宋体" w:eastAsia="宋体" w:cs="宋体"/>
          <w:sz w:val="24"/>
          <w:szCs w:val="24"/>
        </w:rPr>
        <w:fldChar w:fldCharType="separate"/>
      </w:r>
      <w:r>
        <w:rPr>
          <w:rFonts w:hint="eastAsia" w:ascii="宋体" w:hAnsi="宋体" w:eastAsia="宋体" w:cs="宋体"/>
          <w:sz w:val="24"/>
          <w:szCs w:val="24"/>
        </w:rPr>
        <w:t>63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923F362">
      <w:pPr>
        <w:pStyle w:val="14"/>
        <w:tabs>
          <w:tab w:val="right" w:leader="dot" w:pos="830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_Toc16985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val="en-US" w:eastAsia="zh-CN" w:bidi="ar"/>
        </w:rPr>
        <w:t>10.3  排污口设置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_Toc16985 \h </w:instrText>
      </w:r>
      <w:r>
        <w:rPr>
          <w:rFonts w:hint="eastAsia" w:ascii="宋体" w:hAnsi="宋体" w:eastAsia="宋体" w:cs="宋体"/>
          <w:sz w:val="24"/>
          <w:szCs w:val="24"/>
        </w:rPr>
        <w:fldChar w:fldCharType="separate"/>
      </w:r>
      <w:r>
        <w:rPr>
          <w:rFonts w:hint="eastAsia" w:ascii="宋体" w:hAnsi="宋体" w:eastAsia="宋体" w:cs="宋体"/>
          <w:sz w:val="24"/>
          <w:szCs w:val="24"/>
        </w:rPr>
        <w:t>64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2984496">
      <w:pPr>
        <w:pStyle w:val="14"/>
        <w:tabs>
          <w:tab w:val="right" w:leader="dot" w:pos="830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_Toc22001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val="en-US" w:eastAsia="zh-CN" w:bidi="ar"/>
        </w:rPr>
        <w:t>10.4  突发环境事件应急预案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_Toc22001 \h </w:instrText>
      </w:r>
      <w:r>
        <w:rPr>
          <w:rFonts w:hint="eastAsia" w:ascii="宋体" w:hAnsi="宋体" w:eastAsia="宋体" w:cs="宋体"/>
          <w:sz w:val="24"/>
          <w:szCs w:val="24"/>
        </w:rPr>
        <w:fldChar w:fldCharType="separate"/>
      </w:r>
      <w:r>
        <w:rPr>
          <w:rFonts w:hint="eastAsia" w:ascii="宋体" w:hAnsi="宋体" w:eastAsia="宋体" w:cs="宋体"/>
          <w:sz w:val="24"/>
          <w:szCs w:val="24"/>
        </w:rPr>
        <w:t>64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A36407F">
      <w:pPr>
        <w:pStyle w:val="13"/>
        <w:tabs>
          <w:tab w:val="right" w:leader="dot" w:pos="8300"/>
        </w:tabs>
        <w:spacing w:line="36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_Toc26483 </w:instrText>
      </w:r>
      <w:r>
        <w:rPr>
          <w:rFonts w:hint="eastAsia" w:ascii="宋体" w:hAnsi="宋体" w:eastAsia="宋体" w:cs="宋体"/>
          <w:b/>
          <w:bCs/>
          <w:sz w:val="24"/>
          <w:szCs w:val="24"/>
        </w:rPr>
        <w:fldChar w:fldCharType="separate"/>
      </w:r>
      <w:r>
        <w:rPr>
          <w:rFonts w:hint="eastAsia" w:ascii="宋体" w:hAnsi="宋体" w:eastAsia="宋体" w:cs="宋体"/>
          <w:b/>
          <w:bCs/>
          <w:kern w:val="0"/>
          <w:sz w:val="24"/>
          <w:szCs w:val="24"/>
          <w:lang w:val="en-US" w:eastAsia="zh-CN" w:bidi="ar"/>
        </w:rPr>
        <w:t>11.  结论与建议</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_Toc26483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65</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258E61DF">
      <w:pPr>
        <w:pStyle w:val="14"/>
        <w:tabs>
          <w:tab w:val="right" w:leader="dot" w:pos="830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_Toc29564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val="en-US" w:eastAsia="zh-CN" w:bidi="ar"/>
        </w:rPr>
        <w:t>11.1  验收结论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_Toc29564 \h </w:instrText>
      </w:r>
      <w:r>
        <w:rPr>
          <w:rFonts w:hint="eastAsia" w:ascii="宋体" w:hAnsi="宋体" w:eastAsia="宋体" w:cs="宋体"/>
          <w:sz w:val="24"/>
          <w:szCs w:val="24"/>
        </w:rPr>
        <w:fldChar w:fldCharType="separate"/>
      </w:r>
      <w:r>
        <w:rPr>
          <w:rFonts w:hint="eastAsia" w:ascii="宋体" w:hAnsi="宋体" w:eastAsia="宋体" w:cs="宋体"/>
          <w:sz w:val="24"/>
          <w:szCs w:val="24"/>
        </w:rPr>
        <w:t>65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B04B8B2">
      <w:pPr>
        <w:pStyle w:val="14"/>
        <w:tabs>
          <w:tab w:val="right" w:leader="dot" w:pos="830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_Toc23907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val="en-US" w:eastAsia="zh-CN" w:bidi="ar"/>
        </w:rPr>
        <w:t>11.2  环境管理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_Toc23907 \h </w:instrText>
      </w:r>
      <w:r>
        <w:rPr>
          <w:rFonts w:hint="eastAsia" w:ascii="宋体" w:hAnsi="宋体" w:eastAsia="宋体" w:cs="宋体"/>
          <w:sz w:val="24"/>
          <w:szCs w:val="24"/>
        </w:rPr>
        <w:fldChar w:fldCharType="separate"/>
      </w:r>
      <w:r>
        <w:rPr>
          <w:rFonts w:hint="eastAsia" w:ascii="宋体" w:hAnsi="宋体" w:eastAsia="宋体" w:cs="宋体"/>
          <w:sz w:val="24"/>
          <w:szCs w:val="24"/>
        </w:rPr>
        <w:t>66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FAF76C2">
      <w:pPr>
        <w:pStyle w:val="14"/>
        <w:tabs>
          <w:tab w:val="right" w:leader="dot" w:pos="830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_Toc18079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val="en-US" w:eastAsia="zh-CN" w:bidi="ar"/>
        </w:rPr>
        <w:t>11.3  存在问题及建议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_Toc18079 \h </w:instrText>
      </w:r>
      <w:r>
        <w:rPr>
          <w:rFonts w:hint="eastAsia" w:ascii="宋体" w:hAnsi="宋体" w:eastAsia="宋体" w:cs="宋体"/>
          <w:sz w:val="24"/>
          <w:szCs w:val="24"/>
        </w:rPr>
        <w:fldChar w:fldCharType="separate"/>
      </w:r>
      <w:r>
        <w:rPr>
          <w:rFonts w:hint="eastAsia" w:ascii="宋体" w:hAnsi="宋体" w:eastAsia="宋体" w:cs="宋体"/>
          <w:sz w:val="24"/>
          <w:szCs w:val="24"/>
        </w:rPr>
        <w:t>66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B0E66CB">
      <w:pPr>
        <w:pStyle w:val="13"/>
        <w:tabs>
          <w:tab w:val="right" w:leader="dot" w:pos="8300"/>
        </w:tabs>
        <w:spacing w:line="36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_Toc25413 </w:instrText>
      </w:r>
      <w:r>
        <w:rPr>
          <w:rFonts w:hint="eastAsia" w:ascii="宋体" w:hAnsi="宋体" w:eastAsia="宋体" w:cs="宋体"/>
          <w:b/>
          <w:bCs/>
          <w:sz w:val="24"/>
          <w:szCs w:val="24"/>
        </w:rPr>
        <w:fldChar w:fldCharType="separate"/>
      </w:r>
      <w:r>
        <w:rPr>
          <w:rFonts w:hint="eastAsia" w:ascii="宋体" w:hAnsi="宋体" w:eastAsia="宋体" w:cs="宋体"/>
          <w:b/>
          <w:bCs/>
          <w:kern w:val="0"/>
          <w:sz w:val="24"/>
          <w:szCs w:val="24"/>
          <w:lang w:val="en-US" w:eastAsia="zh-CN" w:bidi="ar"/>
        </w:rPr>
        <w:t>12.  建设项目竣工环境保护“三同时”验收登记表及</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_Toc25413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68</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00D32FB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sectPr>
          <w:headerReference r:id="rId5" w:type="default"/>
          <w:footerReference r:id="rId6" w:type="default"/>
          <w:pgSz w:w="11906" w:h="16838"/>
          <w:pgMar w:top="1440" w:right="1803" w:bottom="1440" w:left="1803" w:header="850" w:footer="992" w:gutter="0"/>
          <w:pgBorders w:offsetFrom="page">
            <w:top w:val="none" w:sz="0" w:space="0"/>
            <w:left w:val="none" w:sz="0" w:space="0"/>
            <w:bottom w:val="none" w:sz="0" w:space="0"/>
            <w:right w:val="none" w:sz="0" w:space="0"/>
          </w:pgBorders>
          <w:pgNumType w:start="1"/>
          <w:cols w:space="0" w:num="1"/>
          <w:rtlGutter w:val="0"/>
          <w:docGrid w:type="lines" w:linePitch="312" w:charSpace="0"/>
        </w:sectPr>
      </w:pPr>
      <w:r>
        <w:rPr>
          <w:rFonts w:hint="eastAsia" w:ascii="宋体" w:hAnsi="宋体" w:eastAsia="宋体" w:cs="宋体"/>
          <w:sz w:val="24"/>
          <w:szCs w:val="24"/>
        </w:rPr>
        <w:fldChar w:fldCharType="end"/>
      </w:r>
    </w:p>
    <w:p w14:paraId="40AADBE1">
      <w:pPr>
        <w:pStyle w:val="3"/>
        <w:keepNext/>
        <w:keepLines/>
        <w:pageBreakBefore w:val="0"/>
        <w:widowControl w:val="0"/>
        <w:kinsoku/>
        <w:wordWrap/>
        <w:overflowPunct/>
        <w:topLinePunct w:val="0"/>
        <w:autoSpaceDE/>
        <w:autoSpaceDN/>
        <w:bidi w:val="0"/>
        <w:adjustRightInd/>
        <w:snapToGrid w:val="0"/>
        <w:spacing w:before="0" w:after="0" w:line="360" w:lineRule="auto"/>
        <w:jc w:val="both"/>
        <w:textAlignment w:val="auto"/>
        <w:outlineLvl w:val="0"/>
        <w:rPr>
          <w:rFonts w:hint="eastAsia" w:ascii="宋体" w:hAnsi="宋体" w:eastAsia="宋体" w:cs="宋体"/>
          <w:sz w:val="32"/>
          <w:szCs w:val="32"/>
          <w:lang w:val="en-US" w:eastAsia="zh-CN"/>
        </w:rPr>
      </w:pPr>
      <w:bookmarkStart w:id="0" w:name="_Toc5530"/>
      <w:bookmarkStart w:id="1" w:name="_Toc1770"/>
      <w:r>
        <w:rPr>
          <w:rFonts w:hint="eastAsia" w:ascii="宋体" w:hAnsi="宋体" w:eastAsia="宋体" w:cs="宋体"/>
          <w:sz w:val="32"/>
          <w:szCs w:val="32"/>
          <w:lang w:val="en-US" w:eastAsia="zh-CN"/>
        </w:rPr>
        <w:t>1</w:t>
      </w:r>
      <w:bookmarkEnd w:id="0"/>
      <w:r>
        <w:rPr>
          <w:rFonts w:hint="eastAsia" w:ascii="宋体" w:hAnsi="宋体" w:eastAsia="宋体" w:cs="宋体"/>
          <w:b/>
          <w:bCs/>
          <w:color w:val="000000"/>
          <w:kern w:val="0"/>
          <w:sz w:val="28"/>
          <w:szCs w:val="28"/>
          <w:lang w:val="en-US" w:eastAsia="zh-CN" w:bidi="ar"/>
        </w:rPr>
        <w:t xml:space="preserve">.  </w:t>
      </w:r>
      <w:r>
        <w:rPr>
          <w:rFonts w:hint="eastAsia" w:ascii="宋体" w:hAnsi="宋体" w:eastAsia="宋体" w:cs="宋体"/>
          <w:sz w:val="32"/>
          <w:szCs w:val="32"/>
          <w:lang w:val="en-US" w:eastAsia="zh-CN"/>
        </w:rPr>
        <w:t>项目概况</w:t>
      </w:r>
      <w:bookmarkEnd w:id="1"/>
    </w:p>
    <w:p w14:paraId="3564E40C">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和县经济开发区污水处理厂厂址位于和县规划纬二路与经三路交口西北角，厂区近期占地40亩。其建设内容为新建经济开发区污水处理厂一座，近期处理规模为1万m</w:t>
      </w:r>
      <w:r>
        <w:rPr>
          <w:rFonts w:hint="eastAsia" w:ascii="宋体" w:hAnsi="宋体" w:eastAsia="宋体" w:cs="宋体"/>
          <w:color w:val="000000"/>
          <w:kern w:val="0"/>
          <w:sz w:val="24"/>
          <w:szCs w:val="24"/>
          <w:vertAlign w:val="superscript"/>
          <w:lang w:val="en-US" w:eastAsia="zh-CN" w:bidi="ar"/>
        </w:rPr>
        <w:t>3</w:t>
      </w:r>
      <w:r>
        <w:rPr>
          <w:rFonts w:hint="eastAsia" w:ascii="宋体" w:hAnsi="宋体" w:eastAsia="宋体" w:cs="宋体"/>
          <w:color w:val="000000"/>
          <w:kern w:val="0"/>
          <w:sz w:val="24"/>
          <w:szCs w:val="24"/>
          <w:lang w:val="en-US" w:eastAsia="zh-CN" w:bidi="ar"/>
        </w:rPr>
        <w:t>/d（分两阶段实施，其中一期</w:t>
      </w:r>
      <w:r>
        <w:rPr>
          <w:rFonts w:hint="eastAsia" w:ascii="宋体" w:hAnsi="宋体" w:cs="宋体"/>
          <w:color w:val="000000"/>
          <w:kern w:val="0"/>
          <w:sz w:val="24"/>
          <w:szCs w:val="24"/>
          <w:lang w:val="en-US" w:eastAsia="zh-CN" w:bidi="ar"/>
        </w:rPr>
        <w:t>一</w:t>
      </w:r>
      <w:r>
        <w:rPr>
          <w:rFonts w:hint="eastAsia" w:ascii="宋体" w:hAnsi="宋体" w:eastAsia="宋体" w:cs="宋体"/>
          <w:color w:val="000000"/>
          <w:kern w:val="0"/>
          <w:sz w:val="24"/>
          <w:szCs w:val="24"/>
          <w:lang w:val="en-US" w:eastAsia="zh-CN" w:bidi="ar"/>
        </w:rPr>
        <w:t>阶段处理规模为0.5万m</w:t>
      </w:r>
      <w:r>
        <w:rPr>
          <w:rFonts w:hint="eastAsia" w:ascii="宋体" w:hAnsi="宋体" w:eastAsia="宋体" w:cs="宋体"/>
          <w:color w:val="000000"/>
          <w:kern w:val="0"/>
          <w:sz w:val="24"/>
          <w:szCs w:val="24"/>
          <w:vertAlign w:val="superscript"/>
          <w:lang w:val="en-US" w:eastAsia="zh-CN" w:bidi="ar"/>
        </w:rPr>
        <w:t>3</w:t>
      </w:r>
      <w:r>
        <w:rPr>
          <w:rFonts w:hint="eastAsia" w:ascii="宋体" w:hAnsi="宋体" w:eastAsia="宋体" w:cs="宋体"/>
          <w:color w:val="000000"/>
          <w:kern w:val="0"/>
          <w:sz w:val="24"/>
          <w:szCs w:val="24"/>
          <w:lang w:val="en-US" w:eastAsia="zh-CN" w:bidi="ar"/>
        </w:rPr>
        <w:t>/d，二阶段处理规模为0.5万m</w:t>
      </w:r>
      <w:r>
        <w:rPr>
          <w:rFonts w:hint="eastAsia" w:ascii="宋体" w:hAnsi="宋体" w:eastAsia="宋体" w:cs="宋体"/>
          <w:color w:val="000000"/>
          <w:kern w:val="0"/>
          <w:sz w:val="24"/>
          <w:szCs w:val="24"/>
          <w:vertAlign w:val="superscript"/>
          <w:lang w:val="en-US" w:eastAsia="zh-CN" w:bidi="ar"/>
        </w:rPr>
        <w:t>3</w:t>
      </w:r>
      <w:r>
        <w:rPr>
          <w:rFonts w:hint="eastAsia" w:ascii="宋体" w:hAnsi="宋体" w:eastAsia="宋体" w:cs="宋体"/>
          <w:color w:val="000000"/>
          <w:kern w:val="0"/>
          <w:sz w:val="24"/>
          <w:szCs w:val="24"/>
          <w:lang w:val="en-US" w:eastAsia="zh-CN" w:bidi="ar"/>
        </w:rPr>
        <w:t>/d）；配套污水管网总长约11.8km（分两阶段，一期二阶段总长约4.5km，二阶段总长约7.3km）；改造太阳河泵站，兴业路新建污水泵站。和县经济开发区污水处理厂主要是处理工业废水，该污水处理厂服务范围为和县经济开发区和和县台湾农民创业园内规划工业用地，其中和县经济开发区内近期收水范围为西至和州大道，东至巢宁路（即文昌北路），北至沿河路，南至牛屯河路，服务面积3.9km</w:t>
      </w:r>
      <w:r>
        <w:rPr>
          <w:rFonts w:hint="eastAsia" w:ascii="宋体" w:hAnsi="宋体" w:eastAsia="宋体" w:cs="宋体"/>
          <w:color w:val="000000"/>
          <w:kern w:val="0"/>
          <w:sz w:val="24"/>
          <w:szCs w:val="24"/>
          <w:vertAlign w:val="superscript"/>
          <w:lang w:val="en-US" w:eastAsia="zh-CN" w:bidi="ar"/>
        </w:rPr>
        <w:t>2</w:t>
      </w:r>
      <w:r>
        <w:rPr>
          <w:rFonts w:hint="eastAsia" w:ascii="宋体" w:hAnsi="宋体" w:eastAsia="宋体" w:cs="宋体"/>
          <w:color w:val="000000"/>
          <w:kern w:val="0"/>
          <w:sz w:val="24"/>
          <w:szCs w:val="24"/>
          <w:lang w:val="en-US" w:eastAsia="zh-CN" w:bidi="ar"/>
        </w:rPr>
        <w:t>；和县台湾农民创业园内近期收水范围为西至文昌北路（即巢宁路），东至兴业路，北至裕溪路，南至牛屯河路，服务面积0.7km</w:t>
      </w:r>
      <w:r>
        <w:rPr>
          <w:rFonts w:hint="eastAsia" w:ascii="宋体" w:hAnsi="宋体" w:eastAsia="宋体" w:cs="宋体"/>
          <w:color w:val="000000"/>
          <w:kern w:val="0"/>
          <w:sz w:val="24"/>
          <w:szCs w:val="24"/>
          <w:vertAlign w:val="superscript"/>
          <w:lang w:val="en-US" w:eastAsia="zh-CN" w:bidi="ar"/>
        </w:rPr>
        <w:t>2</w:t>
      </w:r>
      <w:r>
        <w:rPr>
          <w:rFonts w:hint="eastAsia" w:ascii="宋体" w:hAnsi="宋体" w:eastAsia="宋体" w:cs="宋体"/>
          <w:color w:val="000000"/>
          <w:kern w:val="0"/>
          <w:sz w:val="24"/>
          <w:szCs w:val="24"/>
          <w:lang w:val="en-US" w:eastAsia="zh-CN" w:bidi="ar"/>
        </w:rPr>
        <w:t>。</w:t>
      </w:r>
    </w:p>
    <w:p w14:paraId="3B8F3395">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和县经济开发区污水处理厂及配套管网工程项目于2019年1月8日取得和县发改委下发立项批复（和发改行审</w:t>
      </w:r>
      <w:r>
        <w:rPr>
          <w:rFonts w:hint="eastAsia" w:ascii="宋体" w:hAnsi="宋体" w:cs="宋体"/>
          <w:color w:val="000000"/>
          <w:kern w:val="0"/>
          <w:sz w:val="24"/>
          <w:szCs w:val="24"/>
          <w:lang w:val="en-US" w:eastAsia="zh-CN" w:bidi="ar"/>
        </w:rPr>
        <w:t>〔2019〕8号</w:t>
      </w:r>
      <w:r>
        <w:rPr>
          <w:rFonts w:hint="eastAsia" w:ascii="宋体" w:hAnsi="宋体" w:eastAsia="宋体" w:cs="宋体"/>
          <w:color w:val="000000"/>
          <w:kern w:val="0"/>
          <w:sz w:val="24"/>
          <w:szCs w:val="24"/>
          <w:lang w:val="en-US" w:eastAsia="zh-CN" w:bidi="ar"/>
        </w:rPr>
        <w:t>），安徽锦程安环科技发展有限公司于2020年4月份完成了《和县经济开发区污水处理厂及配套管网工程项目环境影响报告书》的编制。2020年6月8日马鞍山市生态环境局以《关于</w:t>
      </w:r>
      <w:r>
        <w:rPr>
          <w:rFonts w:hint="eastAsia" w:ascii="宋体" w:hAnsi="宋体" w:cs="宋体"/>
          <w:color w:val="000000"/>
          <w:kern w:val="0"/>
          <w:sz w:val="24"/>
          <w:szCs w:val="24"/>
          <w:lang w:val="en-US" w:eastAsia="zh-CN" w:bidi="ar"/>
        </w:rPr>
        <w:t>和县三峡水环境综合治理有限责任公司</w:t>
      </w:r>
      <w:r>
        <w:rPr>
          <w:rFonts w:hint="eastAsia" w:ascii="宋体" w:hAnsi="宋体" w:eastAsia="宋体" w:cs="宋体"/>
          <w:color w:val="000000"/>
          <w:kern w:val="0"/>
          <w:sz w:val="24"/>
          <w:szCs w:val="24"/>
          <w:lang w:val="en-US" w:eastAsia="zh-CN" w:bidi="ar"/>
        </w:rPr>
        <w:t>和县经济开发区污水处理厂及配套管网工程项目环境影响报告书的批复》【马环审〔2020〕195号】进行了审批。</w:t>
      </w:r>
    </w:p>
    <w:p w14:paraId="08637028">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cs="宋体"/>
          <w:color w:val="000000" w:themeColor="text1"/>
          <w:kern w:val="0"/>
          <w:sz w:val="24"/>
          <w:szCs w:val="24"/>
          <w:lang w:val="en-US" w:eastAsia="zh-CN" w:bidi="ar"/>
          <w14:textFill>
            <w14:solidFill>
              <w14:schemeClr w14:val="tx1"/>
            </w14:solidFill>
          </w14:textFill>
        </w:rPr>
        <w:t>本次</w:t>
      </w:r>
      <w:r>
        <w:rPr>
          <w:rFonts w:hint="eastAsia" w:ascii="宋体" w:hAnsi="宋体" w:eastAsia="宋体" w:cs="宋体"/>
          <w:color w:val="000000" w:themeColor="text1"/>
          <w:kern w:val="0"/>
          <w:sz w:val="24"/>
          <w:szCs w:val="24"/>
          <w:lang w:val="en-US" w:eastAsia="zh-CN" w:bidi="ar"/>
          <w14:textFill>
            <w14:solidFill>
              <w14:schemeClr w14:val="tx1"/>
            </w14:solidFill>
          </w14:textFill>
        </w:rPr>
        <w:t>验收的是和县经济开发区污水处理厂及配套管网工程项目一期二阶段，主要包括处理规模为0.5万m</w:t>
      </w:r>
      <w:r>
        <w:rPr>
          <w:rFonts w:hint="eastAsia" w:ascii="宋体" w:hAnsi="宋体" w:eastAsia="宋体" w:cs="宋体"/>
          <w:color w:val="000000" w:themeColor="text1"/>
          <w:kern w:val="0"/>
          <w:sz w:val="24"/>
          <w:szCs w:val="24"/>
          <w:vertAlign w:val="superscript"/>
          <w:lang w:val="en-US" w:eastAsia="zh-CN" w:bidi="ar"/>
          <w14:textFill>
            <w14:solidFill>
              <w14:schemeClr w14:val="tx1"/>
            </w14:solidFill>
          </w14:textFill>
        </w:rPr>
        <w:t>3</w:t>
      </w:r>
      <w:r>
        <w:rPr>
          <w:rFonts w:hint="eastAsia" w:ascii="宋体" w:hAnsi="宋体" w:eastAsia="宋体" w:cs="宋体"/>
          <w:color w:val="000000" w:themeColor="text1"/>
          <w:kern w:val="0"/>
          <w:sz w:val="24"/>
          <w:szCs w:val="24"/>
          <w:lang w:val="en-US" w:eastAsia="zh-CN" w:bidi="ar"/>
          <w14:textFill>
            <w14:solidFill>
              <w14:schemeClr w14:val="tx1"/>
            </w14:solidFill>
          </w14:textFill>
        </w:rPr>
        <w:t>/d的工业废水集中处理工程，项目采取“粗格栅+进水泵房+细格栅+曝气沉砂池+水解酸化池+改良AAO氧化沟+二沉池+混凝除氟沉淀系统</w:t>
      </w:r>
      <w:r>
        <w:rPr>
          <w:rFonts w:hint="eastAsia" w:ascii="宋体" w:hAnsi="宋体" w:cs="宋体"/>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高效沉淀池+反硝化深床滤池+次氯酸钠消毒”处理工艺，尾水外排至双桥河，出水水质执行《城镇污水处理厂污染物排放标准》（GB18918-2002）中的一级A标准。</w:t>
      </w:r>
    </w:p>
    <w:p w14:paraId="347B54A5">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项目于202</w:t>
      </w:r>
      <w:r>
        <w:rPr>
          <w:rFonts w:hint="eastAsia" w:ascii="宋体" w:hAnsi="宋体" w:cs="宋体"/>
          <w:color w:val="000000" w:themeColor="text1"/>
          <w:kern w:val="0"/>
          <w:sz w:val="24"/>
          <w:szCs w:val="24"/>
          <w:lang w:val="en-US" w:eastAsia="zh-CN" w:bidi="ar"/>
          <w14:textFill>
            <w14:solidFill>
              <w14:schemeClr w14:val="tx1"/>
            </w14:solidFill>
          </w14:textFill>
        </w:rPr>
        <w:t>4</w:t>
      </w:r>
      <w:r>
        <w:rPr>
          <w:rFonts w:hint="eastAsia" w:ascii="宋体" w:hAnsi="宋体" w:eastAsia="宋体" w:cs="宋体"/>
          <w:color w:val="000000" w:themeColor="text1"/>
          <w:kern w:val="0"/>
          <w:sz w:val="24"/>
          <w:szCs w:val="24"/>
          <w:lang w:val="en-US" w:eastAsia="zh-CN" w:bidi="ar"/>
          <w14:textFill>
            <w14:solidFill>
              <w14:schemeClr w14:val="tx1"/>
            </w14:solidFill>
          </w14:textFill>
        </w:rPr>
        <w:t>年</w:t>
      </w:r>
      <w:r>
        <w:rPr>
          <w:rFonts w:hint="eastAsia" w:ascii="宋体" w:hAnsi="宋体" w:cs="宋体"/>
          <w:color w:val="000000" w:themeColor="text1"/>
          <w:kern w:val="0"/>
          <w:sz w:val="24"/>
          <w:szCs w:val="24"/>
          <w:lang w:val="en-US" w:eastAsia="zh-CN" w:bidi="ar"/>
          <w14:textFill>
            <w14:solidFill>
              <w14:schemeClr w14:val="tx1"/>
            </w14:solidFill>
          </w14:textFill>
        </w:rPr>
        <w:t>12</w:t>
      </w:r>
      <w:r>
        <w:rPr>
          <w:rFonts w:hint="eastAsia" w:ascii="宋体" w:hAnsi="宋体" w:eastAsia="宋体" w:cs="宋体"/>
          <w:color w:val="000000" w:themeColor="text1"/>
          <w:kern w:val="0"/>
          <w:sz w:val="24"/>
          <w:szCs w:val="24"/>
          <w:lang w:val="en-US" w:eastAsia="zh-CN" w:bidi="ar"/>
          <w14:textFill>
            <w14:solidFill>
              <w14:schemeClr w14:val="tx1"/>
            </w14:solidFill>
          </w14:textFill>
        </w:rPr>
        <w:t>月建成，根据国家《建设项目环境保护管理条例</w:t>
      </w:r>
      <w:r>
        <w:rPr>
          <w:rFonts w:hint="eastAsia" w:ascii="宋体" w:hAnsi="宋体" w:cs="宋体"/>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建设项目竣工环境保护验收暂行办法</w:t>
      </w:r>
      <w:r>
        <w:rPr>
          <w:rFonts w:hint="eastAsia" w:ascii="宋体" w:hAnsi="宋体" w:cs="宋体"/>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建设项目竣工环境保护验收技术指南污染影响类》等要求，企业开展环境保护竣工自主验收，项目单位于202</w:t>
      </w:r>
      <w:r>
        <w:rPr>
          <w:rFonts w:hint="eastAsia" w:ascii="宋体" w:hAnsi="宋体" w:cs="宋体"/>
          <w:color w:val="000000" w:themeColor="text1"/>
          <w:kern w:val="0"/>
          <w:sz w:val="24"/>
          <w:szCs w:val="24"/>
          <w:lang w:val="en-US" w:eastAsia="zh-CN" w:bidi="ar"/>
          <w14:textFill>
            <w14:solidFill>
              <w14:schemeClr w14:val="tx1"/>
            </w14:solidFill>
          </w14:textFill>
        </w:rPr>
        <w:t>4</w:t>
      </w:r>
      <w:r>
        <w:rPr>
          <w:rFonts w:hint="eastAsia" w:ascii="宋体" w:hAnsi="宋体" w:eastAsia="宋体" w:cs="宋体"/>
          <w:color w:val="000000" w:themeColor="text1"/>
          <w:kern w:val="0"/>
          <w:sz w:val="24"/>
          <w:szCs w:val="24"/>
          <w:lang w:val="en-US" w:eastAsia="zh-CN" w:bidi="ar"/>
          <w14:textFill>
            <w14:solidFill>
              <w14:schemeClr w14:val="tx1"/>
            </w14:solidFill>
          </w14:textFill>
        </w:rPr>
        <w:t>年</w:t>
      </w:r>
      <w:r>
        <w:rPr>
          <w:rFonts w:hint="eastAsia" w:ascii="宋体" w:hAnsi="宋体" w:cs="宋体"/>
          <w:color w:val="000000" w:themeColor="text1"/>
          <w:kern w:val="0"/>
          <w:sz w:val="24"/>
          <w:szCs w:val="24"/>
          <w:lang w:val="en-US" w:eastAsia="zh-CN" w:bidi="ar"/>
          <w14:textFill>
            <w14:solidFill>
              <w14:schemeClr w14:val="tx1"/>
            </w14:solidFill>
          </w14:textFill>
        </w:rPr>
        <w:t>12</w:t>
      </w:r>
      <w:r>
        <w:rPr>
          <w:rFonts w:hint="eastAsia" w:ascii="宋体" w:hAnsi="宋体" w:eastAsia="宋体" w:cs="宋体"/>
          <w:color w:val="000000" w:themeColor="text1"/>
          <w:kern w:val="0"/>
          <w:sz w:val="24"/>
          <w:szCs w:val="24"/>
          <w:lang w:val="en-US" w:eastAsia="zh-CN" w:bidi="ar"/>
          <w14:textFill>
            <w14:solidFill>
              <w14:schemeClr w14:val="tx1"/>
            </w14:solidFill>
          </w14:textFill>
        </w:rPr>
        <w:t>月份委托</w:t>
      </w:r>
      <w:r>
        <w:rPr>
          <w:rFonts w:hint="eastAsia" w:ascii="宋体" w:hAnsi="宋体" w:cs="宋体"/>
          <w:color w:val="000000" w:themeColor="text1"/>
          <w:kern w:val="0"/>
          <w:sz w:val="24"/>
          <w:szCs w:val="24"/>
          <w:lang w:val="en-US" w:eastAsia="zh-CN" w:bidi="ar"/>
          <w14:textFill>
            <w14:solidFill>
              <w14:schemeClr w14:val="tx1"/>
            </w14:solidFill>
          </w14:textFill>
        </w:rPr>
        <w:t>马鞍山诚宇环保科技有限公司</w:t>
      </w:r>
      <w:r>
        <w:rPr>
          <w:rFonts w:hint="eastAsia" w:ascii="宋体" w:hAnsi="宋体" w:eastAsia="宋体" w:cs="宋体"/>
          <w:color w:val="000000" w:themeColor="text1"/>
          <w:kern w:val="0"/>
          <w:sz w:val="24"/>
          <w:szCs w:val="24"/>
          <w:lang w:val="en-US" w:eastAsia="zh-CN" w:bidi="ar"/>
          <w14:textFill>
            <w14:solidFill>
              <w14:schemeClr w14:val="tx1"/>
            </w14:solidFill>
          </w14:textFill>
        </w:rPr>
        <w:t>进行项目验收，</w:t>
      </w:r>
      <w:r>
        <w:rPr>
          <w:rFonts w:hint="eastAsia" w:ascii="宋体" w:hAnsi="宋体" w:cs="宋体"/>
          <w:color w:val="000000" w:themeColor="text1"/>
          <w:kern w:val="0"/>
          <w:sz w:val="24"/>
          <w:szCs w:val="24"/>
          <w:lang w:val="en-US" w:eastAsia="zh-CN" w:bidi="ar"/>
          <w14:textFill>
            <w14:solidFill>
              <w14:schemeClr w14:val="tx1"/>
            </w14:solidFill>
          </w14:textFill>
        </w:rPr>
        <w:t>马鞍山诚宇环保科技有限公司</w:t>
      </w:r>
      <w:r>
        <w:rPr>
          <w:rFonts w:hint="eastAsia" w:ascii="宋体" w:hAnsi="宋体" w:eastAsia="宋体" w:cs="宋体"/>
          <w:color w:val="000000" w:themeColor="text1"/>
          <w:kern w:val="0"/>
          <w:sz w:val="24"/>
          <w:szCs w:val="24"/>
          <w:lang w:val="en-US" w:eastAsia="zh-CN" w:bidi="ar"/>
          <w14:textFill>
            <w14:solidFill>
              <w14:schemeClr w14:val="tx1"/>
            </w14:solidFill>
          </w14:textFill>
        </w:rPr>
        <w:t>接到任务后，查阅环评和批复以及项目其他有关资料，对项目现场进行了勘查，编制检测方案并进行了现场监测、采样和环保检查。根据现场监测情况、样品分析结果，编制完成了《和县经济开发区污水处理厂及配套管网工程项目一期二阶段竣工环境保护验收监测报告》。</w:t>
      </w:r>
    </w:p>
    <w:p w14:paraId="211BB4EB">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项目单位组织召开了验收专题会，对意见进行了修改，形成了最终验收报告，在网站上进行公示，公示结束后，在全国建设项目环境影响评价管理信息平台上进行备案，验收的工作流程如下：</w:t>
      </w:r>
    </w:p>
    <w:p w14:paraId="7611C513">
      <w:pPr>
        <w:keepNext w:val="0"/>
        <w:keepLines w:val="0"/>
        <w:widowControl/>
        <w:suppressLineNumbers w:val="0"/>
        <w:jc w:val="center"/>
      </w:pPr>
      <w:r>
        <w:drawing>
          <wp:inline distT="0" distB="0" distL="114300" distR="114300">
            <wp:extent cx="4848225" cy="48387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848225" cy="4838700"/>
                    </a:xfrm>
                    <a:prstGeom prst="rect">
                      <a:avLst/>
                    </a:prstGeom>
                    <a:noFill/>
                    <a:ln>
                      <a:noFill/>
                    </a:ln>
                  </pic:spPr>
                </pic:pic>
              </a:graphicData>
            </a:graphic>
          </wp:inline>
        </w:drawing>
      </w:r>
    </w:p>
    <w:p w14:paraId="340F1A2F">
      <w:r>
        <w:br w:type="page"/>
      </w:r>
    </w:p>
    <w:p w14:paraId="1EA3BF26">
      <w:pPr>
        <w:pStyle w:val="3"/>
        <w:keepNext/>
        <w:keepLines/>
        <w:pageBreakBefore w:val="0"/>
        <w:widowControl w:val="0"/>
        <w:kinsoku/>
        <w:wordWrap/>
        <w:overflowPunct/>
        <w:topLinePunct w:val="0"/>
        <w:autoSpaceDE/>
        <w:autoSpaceDN/>
        <w:bidi w:val="0"/>
        <w:adjustRightInd/>
        <w:snapToGrid w:val="0"/>
        <w:spacing w:before="0" w:after="0" w:line="360" w:lineRule="auto"/>
        <w:jc w:val="both"/>
        <w:textAlignment w:val="auto"/>
        <w:outlineLvl w:val="0"/>
        <w:rPr>
          <w:rFonts w:hint="eastAsia" w:ascii="宋体" w:hAnsi="宋体" w:eastAsia="宋体" w:cs="宋体"/>
          <w:sz w:val="32"/>
          <w:szCs w:val="32"/>
          <w:lang w:val="en-US" w:eastAsia="zh-CN"/>
        </w:rPr>
      </w:pPr>
      <w:bookmarkStart w:id="2" w:name="_Toc26330"/>
      <w:r>
        <w:rPr>
          <w:rFonts w:hint="eastAsia" w:ascii="宋体" w:hAnsi="宋体" w:eastAsia="宋体" w:cs="宋体"/>
          <w:sz w:val="32"/>
          <w:szCs w:val="32"/>
          <w:lang w:val="en-US" w:eastAsia="zh-CN"/>
        </w:rPr>
        <w:t>2</w:t>
      </w:r>
      <w:r>
        <w:rPr>
          <w:rFonts w:hint="eastAsia" w:ascii="宋体" w:hAnsi="宋体" w:eastAsia="宋体" w:cs="宋体"/>
          <w:b/>
          <w:bCs/>
          <w:color w:val="000000"/>
          <w:kern w:val="0"/>
          <w:sz w:val="28"/>
          <w:szCs w:val="28"/>
          <w:lang w:val="en-US" w:eastAsia="zh-CN" w:bidi="ar"/>
        </w:rPr>
        <w:t>.</w:t>
      </w:r>
      <w:r>
        <w:rPr>
          <w:rFonts w:hint="eastAsia" w:ascii="宋体" w:hAnsi="宋体" w:eastAsia="宋体" w:cs="宋体"/>
          <w:b/>
          <w:bCs/>
          <w:color w:val="000000"/>
          <w:kern w:val="0"/>
          <w:sz w:val="32"/>
          <w:szCs w:val="32"/>
          <w:lang w:val="en-US" w:eastAsia="zh-CN" w:bidi="ar"/>
        </w:rPr>
        <w:t xml:space="preserve">  </w:t>
      </w:r>
      <w:r>
        <w:rPr>
          <w:rFonts w:hint="eastAsia" w:ascii="宋体" w:hAnsi="宋体" w:eastAsia="宋体" w:cs="宋体"/>
          <w:sz w:val="32"/>
          <w:szCs w:val="32"/>
          <w:lang w:val="en-US" w:eastAsia="zh-CN"/>
        </w:rPr>
        <w:t>验收依据</w:t>
      </w:r>
      <w:bookmarkEnd w:id="2"/>
    </w:p>
    <w:p w14:paraId="3CD8A918">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1"/>
        <w:rPr>
          <w:rFonts w:hint="eastAsia" w:ascii="宋体" w:hAnsi="宋体" w:eastAsia="宋体" w:cs="宋体"/>
          <w:sz w:val="28"/>
          <w:szCs w:val="28"/>
        </w:rPr>
      </w:pPr>
      <w:bookmarkStart w:id="3" w:name="_Toc8991"/>
      <w:r>
        <w:rPr>
          <w:rFonts w:hint="eastAsia" w:ascii="宋体" w:hAnsi="宋体" w:eastAsia="宋体" w:cs="宋体"/>
          <w:b/>
          <w:bCs/>
          <w:color w:val="000000"/>
          <w:kern w:val="0"/>
          <w:sz w:val="28"/>
          <w:szCs w:val="28"/>
          <w:lang w:val="en-US" w:eastAsia="zh-CN" w:bidi="ar"/>
        </w:rPr>
        <w:t>2.1</w:t>
      </w:r>
      <w:r>
        <w:rPr>
          <w:rFonts w:hint="eastAsia" w:ascii="宋体" w:hAnsi="宋体" w:cs="宋体"/>
          <w:b/>
          <w:bCs/>
          <w:color w:val="000000"/>
          <w:kern w:val="0"/>
          <w:sz w:val="28"/>
          <w:szCs w:val="28"/>
          <w:lang w:val="en-US" w:eastAsia="zh-CN" w:bidi="ar"/>
        </w:rPr>
        <w:t xml:space="preserve">  </w:t>
      </w:r>
      <w:r>
        <w:rPr>
          <w:rFonts w:hint="eastAsia" w:ascii="宋体" w:hAnsi="宋体" w:eastAsia="宋体" w:cs="宋体"/>
          <w:b/>
          <w:bCs/>
          <w:color w:val="000000"/>
          <w:kern w:val="0"/>
          <w:sz w:val="28"/>
          <w:szCs w:val="28"/>
          <w:lang w:val="en-US" w:eastAsia="zh-CN" w:bidi="ar"/>
        </w:rPr>
        <w:t>建设项目环境保护相关法律、法规和规章制度</w:t>
      </w:r>
      <w:bookmarkEnd w:id="3"/>
    </w:p>
    <w:p w14:paraId="5518F4B7">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（1）《中华人民共和国环境噪声污染防治法》（2018年12月29日修订）；</w:t>
      </w:r>
    </w:p>
    <w:p w14:paraId="3123F40A">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（2）《中华人民共和国水污染防治法》（2018年1月1日起施行）；</w:t>
      </w:r>
    </w:p>
    <w:p w14:paraId="4F4224C6">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（3）《中华人民共和国大气污染防治法》（2018年10月26日修订）；</w:t>
      </w:r>
    </w:p>
    <w:p w14:paraId="1C198F0C">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（4）中华人民共和国固体废物污染环境防治法</w:t>
      </w:r>
      <w:r>
        <w:rPr>
          <w:rFonts w:hint="eastAsia" w:ascii="宋体" w:hAnsi="宋体" w:cs="宋体"/>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2020修订</w:t>
      </w:r>
      <w:r>
        <w:rPr>
          <w:rFonts w:hint="eastAsia" w:ascii="宋体" w:hAnsi="宋体" w:cs="宋体"/>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p>
    <w:p w14:paraId="55D16F16">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（5）《中华人民共和国环境噪声污染防治法》，2018年12月29日修订通过，2018年12月29日施行；</w:t>
      </w:r>
    </w:p>
    <w:p w14:paraId="4CF48791">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（6）《中华人民共和国土壤污染防治法》，2018年8月31日第十三届</w:t>
      </w:r>
      <w:r>
        <w:rPr>
          <w:rFonts w:hint="eastAsia" w:ascii="宋体" w:hAnsi="宋体" w:cs="宋体"/>
          <w:color w:val="000000" w:themeColor="text1"/>
          <w:kern w:val="0"/>
          <w:sz w:val="24"/>
          <w:szCs w:val="24"/>
          <w:lang w:val="en-US" w:eastAsia="zh-CN" w:bidi="ar"/>
          <w14:textFill>
            <w14:solidFill>
              <w14:schemeClr w14:val="tx1"/>
            </w14:solidFill>
          </w14:textFill>
        </w:rPr>
        <w:t>全国人大五次会议</w:t>
      </w:r>
      <w:r>
        <w:rPr>
          <w:rFonts w:hint="eastAsia" w:ascii="宋体" w:hAnsi="宋体" w:eastAsia="宋体" w:cs="宋体"/>
          <w:color w:val="000000" w:themeColor="text1"/>
          <w:kern w:val="0"/>
          <w:sz w:val="24"/>
          <w:szCs w:val="24"/>
          <w:lang w:val="en-US" w:eastAsia="zh-CN" w:bidi="ar"/>
          <w14:textFill>
            <w14:solidFill>
              <w14:schemeClr w14:val="tx1"/>
            </w14:solidFill>
          </w14:textFill>
        </w:rPr>
        <w:t>通过；</w:t>
      </w:r>
    </w:p>
    <w:p w14:paraId="76C41319">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（7）《中华人民共和国清洁生产促进法》（第九届全国人民代表大会常务委员会第二十五次会议），2012年2月29日通过，2012年7月1日施行；</w:t>
      </w:r>
    </w:p>
    <w:p w14:paraId="0B3422B5">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（8）《建设项目环境保护管理条例》，国务院第682号令，2017年10月1日起施行；</w:t>
      </w:r>
    </w:p>
    <w:p w14:paraId="217A84CF">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（9）关于发布《建设项目竣工环境保护验收暂行办法》的公告，国环规环评</w:t>
      </w:r>
      <w:r>
        <w:rPr>
          <w:rFonts w:hint="eastAsia" w:ascii="宋体" w:hAnsi="宋体" w:cs="宋体"/>
          <w:color w:val="000000" w:themeColor="text1"/>
          <w:kern w:val="0"/>
          <w:sz w:val="24"/>
          <w:szCs w:val="24"/>
          <w:lang w:val="en-US" w:eastAsia="zh-CN" w:bidi="ar"/>
          <w14:textFill>
            <w14:solidFill>
              <w14:schemeClr w14:val="tx1"/>
            </w14:solidFill>
          </w14:textFill>
        </w:rPr>
        <w:t>〔2017〕4号</w:t>
      </w:r>
      <w:r>
        <w:rPr>
          <w:rFonts w:hint="eastAsia" w:ascii="宋体" w:hAnsi="宋体" w:eastAsia="宋体" w:cs="宋体"/>
          <w:color w:val="000000" w:themeColor="text1"/>
          <w:kern w:val="0"/>
          <w:sz w:val="24"/>
          <w:szCs w:val="24"/>
          <w:lang w:val="en-US" w:eastAsia="zh-CN" w:bidi="ar"/>
          <w14:textFill>
            <w14:solidFill>
              <w14:schemeClr w14:val="tx1"/>
            </w14:solidFill>
          </w14:textFill>
        </w:rPr>
        <w:t>，2017.11.20；</w:t>
      </w:r>
    </w:p>
    <w:p w14:paraId="5D5B338A">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（10）《国务院关于印发大气污染防治行动计划的通知》，国发</w:t>
      </w:r>
      <w:r>
        <w:rPr>
          <w:rFonts w:hint="eastAsia" w:ascii="宋体" w:hAnsi="宋体" w:cs="宋体"/>
          <w:color w:val="000000" w:themeColor="text1"/>
          <w:kern w:val="0"/>
          <w:sz w:val="24"/>
          <w:szCs w:val="24"/>
          <w:lang w:val="en-US" w:eastAsia="zh-CN" w:bidi="ar"/>
          <w14:textFill>
            <w14:solidFill>
              <w14:schemeClr w14:val="tx1"/>
            </w14:solidFill>
          </w14:textFill>
        </w:rPr>
        <w:t>〔2013〕37号</w:t>
      </w:r>
      <w:r>
        <w:rPr>
          <w:rFonts w:hint="eastAsia" w:ascii="宋体" w:hAnsi="宋体" w:eastAsia="宋体" w:cs="宋体"/>
          <w:color w:val="000000" w:themeColor="text1"/>
          <w:kern w:val="0"/>
          <w:sz w:val="24"/>
          <w:szCs w:val="24"/>
          <w:lang w:val="en-US" w:eastAsia="zh-CN" w:bidi="ar"/>
          <w14:textFill>
            <w14:solidFill>
              <w14:schemeClr w14:val="tx1"/>
            </w14:solidFill>
          </w14:textFill>
        </w:rPr>
        <w:t>文，2013年9月10日；</w:t>
      </w:r>
    </w:p>
    <w:p w14:paraId="062AA46B">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（11）《国务院关于印发水污染防治行动计划的通知》，国发</w:t>
      </w:r>
      <w:r>
        <w:rPr>
          <w:rFonts w:hint="eastAsia" w:ascii="宋体" w:hAnsi="宋体" w:cs="宋体"/>
          <w:color w:val="000000" w:themeColor="text1"/>
          <w:kern w:val="0"/>
          <w:sz w:val="24"/>
          <w:szCs w:val="24"/>
          <w:lang w:val="en-US" w:eastAsia="zh-CN" w:bidi="ar"/>
          <w14:textFill>
            <w14:solidFill>
              <w14:schemeClr w14:val="tx1"/>
            </w14:solidFill>
          </w14:textFill>
        </w:rPr>
        <w:t>〔2015〕17号</w:t>
      </w:r>
      <w:r>
        <w:rPr>
          <w:rFonts w:hint="eastAsia" w:ascii="宋体" w:hAnsi="宋体" w:eastAsia="宋体" w:cs="宋体"/>
          <w:color w:val="000000" w:themeColor="text1"/>
          <w:kern w:val="0"/>
          <w:sz w:val="24"/>
          <w:szCs w:val="24"/>
          <w:lang w:val="en-US" w:eastAsia="zh-CN" w:bidi="ar"/>
          <w14:textFill>
            <w14:solidFill>
              <w14:schemeClr w14:val="tx1"/>
            </w14:solidFill>
          </w14:textFill>
        </w:rPr>
        <w:t>文，2015年4月2日；</w:t>
      </w:r>
    </w:p>
    <w:p w14:paraId="2503FFF7">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（12）《国务院关于印发土壤污染防治行动计划的通知》，国发</w:t>
      </w:r>
      <w:r>
        <w:rPr>
          <w:rFonts w:hint="eastAsia" w:ascii="宋体" w:hAnsi="宋体" w:cs="宋体"/>
          <w:color w:val="000000" w:themeColor="text1"/>
          <w:kern w:val="0"/>
          <w:sz w:val="24"/>
          <w:szCs w:val="24"/>
          <w:lang w:val="en-US" w:eastAsia="zh-CN" w:bidi="ar"/>
          <w14:textFill>
            <w14:solidFill>
              <w14:schemeClr w14:val="tx1"/>
            </w14:solidFill>
          </w14:textFill>
        </w:rPr>
        <w:t>〔2016〕31号</w:t>
      </w:r>
      <w:r>
        <w:rPr>
          <w:rFonts w:hint="eastAsia" w:ascii="宋体" w:hAnsi="宋体" w:eastAsia="宋体" w:cs="宋体"/>
          <w:color w:val="000000" w:themeColor="text1"/>
          <w:kern w:val="0"/>
          <w:sz w:val="24"/>
          <w:szCs w:val="24"/>
          <w:lang w:val="en-US" w:eastAsia="zh-CN" w:bidi="ar"/>
          <w14:textFill>
            <w14:solidFill>
              <w14:schemeClr w14:val="tx1"/>
            </w14:solidFill>
          </w14:textFill>
        </w:rPr>
        <w:t>文，2016年5月28日；</w:t>
      </w:r>
    </w:p>
    <w:p w14:paraId="1FD655A5">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（13）《国家危险废物名录（2021年版）》，2021年1月1日起施行；</w:t>
      </w:r>
    </w:p>
    <w:p w14:paraId="67C3F4B2">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（14）《危险废物污染防治技术政策》，原国家环保局，环发</w:t>
      </w:r>
      <w:r>
        <w:rPr>
          <w:rFonts w:hint="eastAsia" w:ascii="宋体" w:hAnsi="宋体" w:cs="宋体"/>
          <w:color w:val="000000" w:themeColor="text1"/>
          <w:kern w:val="0"/>
          <w:sz w:val="24"/>
          <w:szCs w:val="24"/>
          <w:lang w:val="en-US" w:eastAsia="zh-CN" w:bidi="ar"/>
          <w14:textFill>
            <w14:solidFill>
              <w14:schemeClr w14:val="tx1"/>
            </w14:solidFill>
          </w14:textFill>
        </w:rPr>
        <w:t>〔2001〕199号</w:t>
      </w:r>
      <w:r>
        <w:rPr>
          <w:rFonts w:hint="eastAsia" w:ascii="宋体" w:hAnsi="宋体" w:eastAsia="宋体" w:cs="宋体"/>
          <w:color w:val="000000" w:themeColor="text1"/>
          <w:kern w:val="0"/>
          <w:sz w:val="24"/>
          <w:szCs w:val="24"/>
          <w:lang w:val="en-US" w:eastAsia="zh-CN" w:bidi="ar"/>
          <w14:textFill>
            <w14:solidFill>
              <w14:schemeClr w14:val="tx1"/>
            </w14:solidFill>
          </w14:textFill>
        </w:rPr>
        <w:t>，2001年12月17日实施；</w:t>
      </w:r>
    </w:p>
    <w:p w14:paraId="22FF04D4">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（15）《关于做好环境影响评价制度与排污许可制衔接相关工作的通知》，环办环评</w:t>
      </w:r>
      <w:r>
        <w:rPr>
          <w:rFonts w:hint="eastAsia" w:ascii="宋体" w:hAnsi="宋体" w:cs="宋体"/>
          <w:color w:val="000000" w:themeColor="text1"/>
          <w:kern w:val="0"/>
          <w:sz w:val="24"/>
          <w:szCs w:val="24"/>
          <w:lang w:val="en-US" w:eastAsia="zh-CN" w:bidi="ar"/>
          <w14:textFill>
            <w14:solidFill>
              <w14:schemeClr w14:val="tx1"/>
            </w14:solidFill>
          </w14:textFill>
        </w:rPr>
        <w:t>〔2017〕84号</w:t>
      </w:r>
      <w:r>
        <w:rPr>
          <w:rFonts w:hint="eastAsia" w:ascii="宋体" w:hAnsi="宋体" w:eastAsia="宋体" w:cs="宋体"/>
          <w:color w:val="000000" w:themeColor="text1"/>
          <w:kern w:val="0"/>
          <w:sz w:val="24"/>
          <w:szCs w:val="24"/>
          <w:lang w:val="en-US" w:eastAsia="zh-CN" w:bidi="ar"/>
          <w14:textFill>
            <w14:solidFill>
              <w14:schemeClr w14:val="tx1"/>
            </w14:solidFill>
          </w14:textFill>
        </w:rPr>
        <w:t>；《突发环境事件应急管理办法》，</w:t>
      </w:r>
      <w:r>
        <w:rPr>
          <w:rFonts w:hint="eastAsia" w:ascii="宋体" w:hAnsi="宋体" w:cs="宋体"/>
          <w:color w:val="000000" w:themeColor="text1"/>
          <w:kern w:val="0"/>
          <w:sz w:val="24"/>
          <w:szCs w:val="24"/>
          <w:lang w:val="en-US" w:eastAsia="zh-CN" w:bidi="ar"/>
          <w14:textFill>
            <w14:solidFill>
              <w14:schemeClr w14:val="tx1"/>
            </w14:solidFill>
          </w14:textFill>
        </w:rPr>
        <w:t>生态环境部</w:t>
      </w:r>
      <w:r>
        <w:rPr>
          <w:rFonts w:hint="eastAsia" w:ascii="宋体" w:hAnsi="宋体" w:eastAsia="宋体" w:cs="宋体"/>
          <w:color w:val="000000" w:themeColor="text1"/>
          <w:kern w:val="0"/>
          <w:sz w:val="24"/>
          <w:szCs w:val="24"/>
          <w:lang w:val="en-US" w:eastAsia="zh-CN" w:bidi="ar"/>
          <w14:textFill>
            <w14:solidFill>
              <w14:schemeClr w14:val="tx1"/>
            </w14:solidFill>
          </w14:textFill>
        </w:rPr>
        <w:t>令2015年第34号，2015年6月5日；</w:t>
      </w:r>
    </w:p>
    <w:p w14:paraId="0A24518B">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（16）《企业事业单位环境信息公开办法》中华人民共和国</w:t>
      </w:r>
      <w:r>
        <w:rPr>
          <w:rFonts w:hint="eastAsia" w:ascii="宋体" w:hAnsi="宋体" w:cs="宋体"/>
          <w:color w:val="000000" w:themeColor="text1"/>
          <w:kern w:val="0"/>
          <w:sz w:val="24"/>
          <w:szCs w:val="24"/>
          <w:lang w:val="en-US" w:eastAsia="zh-CN" w:bidi="ar"/>
          <w14:textFill>
            <w14:solidFill>
              <w14:schemeClr w14:val="tx1"/>
            </w14:solidFill>
          </w14:textFill>
        </w:rPr>
        <w:t>生态环境部</w:t>
      </w:r>
      <w:r>
        <w:rPr>
          <w:rFonts w:hint="eastAsia" w:ascii="宋体" w:hAnsi="宋体" w:eastAsia="宋体" w:cs="宋体"/>
          <w:color w:val="000000" w:themeColor="text1"/>
          <w:kern w:val="0"/>
          <w:sz w:val="24"/>
          <w:szCs w:val="24"/>
          <w:lang w:val="en-US" w:eastAsia="zh-CN" w:bidi="ar"/>
          <w14:textFill>
            <w14:solidFill>
              <w14:schemeClr w14:val="tx1"/>
            </w14:solidFill>
          </w14:textFill>
        </w:rPr>
        <w:t>令第31号</w:t>
      </w:r>
      <w:r>
        <w:rPr>
          <w:rFonts w:hint="eastAsia" w:ascii="宋体" w:hAnsi="宋体" w:cs="宋体"/>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2015年1月1日起施行。</w:t>
      </w:r>
    </w:p>
    <w:p w14:paraId="11F3B409">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（17）国家发展改革委，29号令《产业结构调整指导目录》（2019年本）</w:t>
      </w:r>
    </w:p>
    <w:p w14:paraId="53229664">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1"/>
        <w:rPr>
          <w:rFonts w:hint="eastAsia" w:ascii="宋体" w:hAnsi="宋体" w:eastAsia="宋体" w:cs="宋体"/>
          <w:b/>
          <w:bCs/>
          <w:color w:val="000000"/>
          <w:kern w:val="0"/>
          <w:sz w:val="28"/>
          <w:szCs w:val="28"/>
          <w:lang w:val="en-US" w:eastAsia="zh-CN" w:bidi="ar"/>
        </w:rPr>
      </w:pPr>
      <w:bookmarkStart w:id="4" w:name="_Toc22148"/>
      <w:r>
        <w:rPr>
          <w:rFonts w:hint="eastAsia" w:ascii="宋体" w:hAnsi="宋体" w:eastAsia="宋体" w:cs="宋体"/>
          <w:b/>
          <w:bCs/>
          <w:color w:val="000000"/>
          <w:kern w:val="0"/>
          <w:sz w:val="28"/>
          <w:szCs w:val="28"/>
          <w:lang w:val="en-US" w:eastAsia="zh-CN" w:bidi="ar"/>
        </w:rPr>
        <w:t>2.2</w:t>
      </w:r>
      <w:r>
        <w:rPr>
          <w:rFonts w:hint="eastAsia" w:ascii="宋体" w:hAnsi="宋体" w:cs="宋体"/>
          <w:b/>
          <w:bCs/>
          <w:color w:val="000000"/>
          <w:kern w:val="0"/>
          <w:sz w:val="28"/>
          <w:szCs w:val="28"/>
          <w:lang w:val="en-US" w:eastAsia="zh-CN" w:bidi="ar"/>
        </w:rPr>
        <w:t xml:space="preserve">  </w:t>
      </w:r>
      <w:r>
        <w:rPr>
          <w:rFonts w:hint="eastAsia" w:ascii="宋体" w:hAnsi="宋体" w:eastAsia="宋体" w:cs="宋体"/>
          <w:b/>
          <w:bCs/>
          <w:color w:val="000000"/>
          <w:kern w:val="0"/>
          <w:sz w:val="28"/>
          <w:szCs w:val="28"/>
          <w:lang w:val="en-US" w:eastAsia="zh-CN" w:bidi="ar"/>
        </w:rPr>
        <w:t>地方法规和文件</w:t>
      </w:r>
      <w:bookmarkEnd w:id="4"/>
    </w:p>
    <w:p w14:paraId="5478E519">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（1）《安徽省人民政府关于同意实施安徽省水环境功能区划的批复》，安徽省人民政府，皖政秘</w:t>
      </w:r>
      <w:r>
        <w:rPr>
          <w:rFonts w:hint="eastAsia" w:ascii="宋体" w:hAnsi="宋体" w:cs="宋体"/>
          <w:color w:val="000000" w:themeColor="text1"/>
          <w:kern w:val="0"/>
          <w:sz w:val="24"/>
          <w:szCs w:val="24"/>
          <w:lang w:val="en-US" w:eastAsia="zh-CN" w:bidi="ar"/>
          <w14:textFill>
            <w14:solidFill>
              <w14:schemeClr w14:val="tx1"/>
            </w14:solidFill>
          </w14:textFill>
        </w:rPr>
        <w:t>〔2004〕7号</w:t>
      </w:r>
      <w:r>
        <w:rPr>
          <w:rFonts w:hint="eastAsia" w:ascii="宋体" w:hAnsi="宋体" w:eastAsia="宋体" w:cs="宋体"/>
          <w:color w:val="000000" w:themeColor="text1"/>
          <w:kern w:val="0"/>
          <w:sz w:val="24"/>
          <w:szCs w:val="24"/>
          <w:lang w:val="en-US" w:eastAsia="zh-CN" w:bidi="ar"/>
          <w14:textFill>
            <w14:solidFill>
              <w14:schemeClr w14:val="tx1"/>
            </w14:solidFill>
          </w14:textFill>
        </w:rPr>
        <w:t>，2004年3月；</w:t>
      </w:r>
    </w:p>
    <w:p w14:paraId="3EC88F30">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（2）《安徽省大气污染防治行动计划实施方案》，皖政〔2013〕89号，2013年12月30日；</w:t>
      </w:r>
    </w:p>
    <w:p w14:paraId="72302F00">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（3）《关于加强建设项目环境影响评价及环保竣工验收公众参与工作的通知》，安徽省环境保护厅，皖环发</w:t>
      </w:r>
      <w:r>
        <w:rPr>
          <w:rFonts w:hint="eastAsia" w:ascii="宋体" w:hAnsi="宋体" w:cs="宋体"/>
          <w:color w:val="000000" w:themeColor="text1"/>
          <w:kern w:val="0"/>
          <w:sz w:val="24"/>
          <w:szCs w:val="24"/>
          <w:lang w:val="en-US" w:eastAsia="zh-CN" w:bidi="ar"/>
          <w14:textFill>
            <w14:solidFill>
              <w14:schemeClr w14:val="tx1"/>
            </w14:solidFill>
          </w14:textFill>
        </w:rPr>
        <w:t>〔2013〕91号</w:t>
      </w:r>
      <w:r>
        <w:rPr>
          <w:rFonts w:hint="eastAsia" w:ascii="宋体" w:hAnsi="宋体" w:eastAsia="宋体" w:cs="宋体"/>
          <w:color w:val="000000" w:themeColor="text1"/>
          <w:kern w:val="0"/>
          <w:sz w:val="24"/>
          <w:szCs w:val="24"/>
          <w:lang w:val="en-US" w:eastAsia="zh-CN" w:bidi="ar"/>
          <w14:textFill>
            <w14:solidFill>
              <w14:schemeClr w14:val="tx1"/>
            </w14:solidFill>
          </w14:textFill>
        </w:rPr>
        <w:t>，2013年10月18日；</w:t>
      </w:r>
    </w:p>
    <w:p w14:paraId="6A42D722">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（4）安徽省人民政府关于发布安徽省生态保护红线的通知，皖政秘〔2018〕120号2018年6月27日；</w:t>
      </w:r>
    </w:p>
    <w:p w14:paraId="4A617C66">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（5）《安徽省人民政府关于全面打造水清岸绿产业优美丽长江（安徽）经济带的实施意见》，安徽省人民政府，皖发</w:t>
      </w:r>
      <w:r>
        <w:rPr>
          <w:rFonts w:hint="eastAsia" w:ascii="宋体" w:hAnsi="宋体" w:cs="宋体"/>
          <w:color w:val="000000" w:themeColor="text1"/>
          <w:kern w:val="0"/>
          <w:sz w:val="24"/>
          <w:szCs w:val="24"/>
          <w:lang w:val="en-US" w:eastAsia="zh-CN" w:bidi="ar"/>
          <w14:textFill>
            <w14:solidFill>
              <w14:schemeClr w14:val="tx1"/>
            </w14:solidFill>
          </w14:textFill>
        </w:rPr>
        <w:t>〔2018〕21号</w:t>
      </w:r>
      <w:r>
        <w:rPr>
          <w:rFonts w:hint="eastAsia" w:ascii="宋体" w:hAnsi="宋体" w:eastAsia="宋体" w:cs="宋体"/>
          <w:color w:val="000000" w:themeColor="text1"/>
          <w:kern w:val="0"/>
          <w:sz w:val="24"/>
          <w:szCs w:val="24"/>
          <w:lang w:val="en-US" w:eastAsia="zh-CN" w:bidi="ar"/>
          <w14:textFill>
            <w14:solidFill>
              <w14:schemeClr w14:val="tx1"/>
            </w14:solidFill>
          </w14:textFill>
        </w:rPr>
        <w:t>，2018年6月27日；</w:t>
      </w:r>
    </w:p>
    <w:p w14:paraId="0239DBE0">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（6）《关于印发全面打造水清岸绿产业优美丽长江（马鞍山）经济带实施方案的通知》，马发〔2018〕17号，2018年7月13日；</w:t>
      </w:r>
    </w:p>
    <w:p w14:paraId="10104F89">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（7）《安徽省人民政府关于印发安徽省打赢蓝天保卫战三年行动计划实施方案的通知》，2018年9月27日；</w:t>
      </w:r>
    </w:p>
    <w:p w14:paraId="62E8FB76">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（8）《长三角地区2019~2020年秋冬季大气污染综合治理攻坚行动方案》，环大气</w:t>
      </w:r>
      <w:r>
        <w:rPr>
          <w:rFonts w:hint="eastAsia" w:ascii="宋体" w:hAnsi="宋体" w:cs="宋体"/>
          <w:color w:val="000000" w:themeColor="text1"/>
          <w:kern w:val="0"/>
          <w:sz w:val="24"/>
          <w:szCs w:val="24"/>
          <w:lang w:val="en-US" w:eastAsia="zh-CN" w:bidi="ar"/>
          <w14:textFill>
            <w14:solidFill>
              <w14:schemeClr w14:val="tx1"/>
            </w14:solidFill>
          </w14:textFill>
        </w:rPr>
        <w:t>〔2019〕97号</w:t>
      </w:r>
      <w:r>
        <w:rPr>
          <w:rFonts w:hint="eastAsia" w:ascii="宋体" w:hAnsi="宋体" w:eastAsia="宋体" w:cs="宋体"/>
          <w:color w:val="000000" w:themeColor="text1"/>
          <w:kern w:val="0"/>
          <w:sz w:val="24"/>
          <w:szCs w:val="24"/>
          <w:lang w:val="en-US" w:eastAsia="zh-CN" w:bidi="ar"/>
          <w14:textFill>
            <w14:solidFill>
              <w14:schemeClr w14:val="tx1"/>
            </w14:solidFill>
          </w14:textFill>
        </w:rPr>
        <w:t>，2019年11月4日。</w:t>
      </w:r>
    </w:p>
    <w:p w14:paraId="7441A0C5">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（9）《安徽省饮用水水源环境保护条例》，安徽省第十二届人民代表大会常务委员会第四十九号，2016年12月1日施行；</w:t>
      </w:r>
    </w:p>
    <w:p w14:paraId="54AD111C">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（10）《关于印发安徽省“十三五”环境保护规划的通知》，安徽省人民政府办公厅，皖政办</w:t>
      </w:r>
      <w:r>
        <w:rPr>
          <w:rFonts w:hint="eastAsia" w:ascii="宋体" w:hAnsi="宋体" w:cs="宋体"/>
          <w:color w:val="000000" w:themeColor="text1"/>
          <w:kern w:val="0"/>
          <w:sz w:val="24"/>
          <w:szCs w:val="24"/>
          <w:lang w:val="en-US" w:eastAsia="zh-CN" w:bidi="ar"/>
          <w14:textFill>
            <w14:solidFill>
              <w14:schemeClr w14:val="tx1"/>
            </w14:solidFill>
          </w14:textFill>
        </w:rPr>
        <w:t>〔2017〕31号</w:t>
      </w:r>
      <w:r>
        <w:rPr>
          <w:rFonts w:hint="eastAsia" w:ascii="宋体" w:hAnsi="宋体" w:eastAsia="宋体" w:cs="宋体"/>
          <w:color w:val="000000" w:themeColor="text1"/>
          <w:kern w:val="0"/>
          <w:sz w:val="24"/>
          <w:szCs w:val="24"/>
          <w:lang w:val="en-US" w:eastAsia="zh-CN" w:bidi="ar"/>
          <w14:textFill>
            <w14:solidFill>
              <w14:schemeClr w14:val="tx1"/>
            </w14:solidFill>
          </w14:textFill>
        </w:rPr>
        <w:t>，2017年4月7日；</w:t>
      </w:r>
    </w:p>
    <w:p w14:paraId="303F7D3C">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（11）《关于划定省级水土流失重点预防区和重点治理区的通告》，安徽省人民政府，皖政秘</w:t>
      </w:r>
      <w:r>
        <w:rPr>
          <w:rFonts w:hint="eastAsia" w:ascii="宋体" w:hAnsi="宋体" w:cs="宋体"/>
          <w:color w:val="000000" w:themeColor="text1"/>
          <w:kern w:val="0"/>
          <w:sz w:val="24"/>
          <w:szCs w:val="24"/>
          <w:lang w:val="en-US" w:eastAsia="zh-CN" w:bidi="ar"/>
          <w14:textFill>
            <w14:solidFill>
              <w14:schemeClr w14:val="tx1"/>
            </w14:solidFill>
          </w14:textFill>
        </w:rPr>
        <w:t>〔2017〕94号</w:t>
      </w:r>
      <w:r>
        <w:rPr>
          <w:rFonts w:hint="eastAsia" w:ascii="宋体" w:hAnsi="宋体" w:eastAsia="宋体" w:cs="宋体"/>
          <w:color w:val="000000" w:themeColor="text1"/>
          <w:kern w:val="0"/>
          <w:sz w:val="24"/>
          <w:szCs w:val="24"/>
          <w:lang w:val="en-US" w:eastAsia="zh-CN" w:bidi="ar"/>
          <w14:textFill>
            <w14:solidFill>
              <w14:schemeClr w14:val="tx1"/>
            </w14:solidFill>
          </w14:textFill>
        </w:rPr>
        <w:t>，2017年5月26日；</w:t>
      </w:r>
    </w:p>
    <w:p w14:paraId="4BCBE219">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1"/>
        <w:rPr>
          <w:rFonts w:hint="eastAsia" w:ascii="宋体" w:hAnsi="宋体" w:eastAsia="宋体" w:cs="宋体"/>
          <w:b/>
          <w:bCs/>
          <w:color w:val="000000"/>
          <w:kern w:val="0"/>
          <w:sz w:val="28"/>
          <w:szCs w:val="28"/>
          <w:lang w:val="en-US" w:eastAsia="zh-CN" w:bidi="ar"/>
        </w:rPr>
      </w:pPr>
      <w:bookmarkStart w:id="5" w:name="_Toc20077"/>
      <w:r>
        <w:rPr>
          <w:rFonts w:hint="eastAsia" w:ascii="宋体" w:hAnsi="宋体" w:eastAsia="宋体" w:cs="宋体"/>
          <w:b/>
          <w:bCs/>
          <w:color w:val="000000"/>
          <w:kern w:val="0"/>
          <w:sz w:val="28"/>
          <w:szCs w:val="28"/>
          <w:lang w:val="en-US" w:eastAsia="zh-CN" w:bidi="ar"/>
        </w:rPr>
        <w:t>2.3</w:t>
      </w:r>
      <w:r>
        <w:rPr>
          <w:rFonts w:hint="eastAsia" w:ascii="宋体" w:hAnsi="宋体" w:cs="宋体"/>
          <w:b/>
          <w:bCs/>
          <w:color w:val="000000"/>
          <w:kern w:val="0"/>
          <w:sz w:val="28"/>
          <w:szCs w:val="28"/>
          <w:lang w:val="en-US" w:eastAsia="zh-CN" w:bidi="ar"/>
        </w:rPr>
        <w:t xml:space="preserve">  </w:t>
      </w:r>
      <w:r>
        <w:rPr>
          <w:rFonts w:hint="eastAsia" w:ascii="宋体" w:hAnsi="宋体" w:eastAsia="宋体" w:cs="宋体"/>
          <w:b/>
          <w:bCs/>
          <w:color w:val="000000"/>
          <w:kern w:val="0"/>
          <w:sz w:val="28"/>
          <w:szCs w:val="28"/>
          <w:lang w:val="en-US" w:eastAsia="zh-CN" w:bidi="ar"/>
        </w:rPr>
        <w:t>建设项目竣工环境保护验收技术规范</w:t>
      </w:r>
      <w:bookmarkEnd w:id="5"/>
    </w:p>
    <w:p w14:paraId="6FFF8DC7">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（1）《建设项目竣工环境保护验收技术指南污染影响类》，生态环境部2018第9号公告，2018.5.16；</w:t>
      </w:r>
    </w:p>
    <w:p w14:paraId="0E6D443D">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（2）《关于印发建设项目竣工环境保护验收现场检查及审查要点的通知》（环办〔2015〕113号）</w:t>
      </w:r>
      <w:r>
        <w:rPr>
          <w:rFonts w:hint="eastAsia" w:ascii="宋体" w:hAnsi="宋体" w:cs="宋体"/>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2015年12月30日；</w:t>
      </w:r>
    </w:p>
    <w:p w14:paraId="01C4553D">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（3）《城市污水处理及污染防治技术政策》（建城</w:t>
      </w:r>
      <w:r>
        <w:rPr>
          <w:rFonts w:hint="eastAsia" w:ascii="宋体" w:hAnsi="宋体" w:cs="宋体"/>
          <w:color w:val="000000" w:themeColor="text1"/>
          <w:kern w:val="0"/>
          <w:sz w:val="24"/>
          <w:szCs w:val="24"/>
          <w:lang w:val="en-US" w:eastAsia="zh-CN" w:bidi="ar"/>
          <w14:textFill>
            <w14:solidFill>
              <w14:schemeClr w14:val="tx1"/>
            </w14:solidFill>
          </w14:textFill>
        </w:rPr>
        <w:t>〔2000〕124号</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p>
    <w:p w14:paraId="4613B0C1">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（4）《城镇污水处理厂污泥处理处置污染防治最佳可行技术指南（试行）》；</w:t>
      </w:r>
    </w:p>
    <w:p w14:paraId="294B3496">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1"/>
        <w:rPr>
          <w:rFonts w:hint="eastAsia" w:ascii="宋体" w:hAnsi="宋体" w:eastAsia="宋体" w:cs="宋体"/>
          <w:b/>
          <w:bCs/>
          <w:color w:val="000000"/>
          <w:kern w:val="0"/>
          <w:sz w:val="28"/>
          <w:szCs w:val="28"/>
          <w:lang w:val="en-US" w:eastAsia="zh-CN" w:bidi="ar"/>
        </w:rPr>
      </w:pPr>
      <w:bookmarkStart w:id="6" w:name="_Toc4188"/>
      <w:r>
        <w:rPr>
          <w:rFonts w:hint="eastAsia" w:ascii="宋体" w:hAnsi="宋体" w:eastAsia="宋体" w:cs="宋体"/>
          <w:b/>
          <w:bCs/>
          <w:color w:val="000000"/>
          <w:kern w:val="0"/>
          <w:sz w:val="28"/>
          <w:szCs w:val="28"/>
          <w:lang w:val="en-US" w:eastAsia="zh-CN" w:bidi="ar"/>
        </w:rPr>
        <w:t>2.4</w:t>
      </w:r>
      <w:r>
        <w:rPr>
          <w:rFonts w:hint="eastAsia" w:ascii="宋体" w:hAnsi="宋体" w:cs="宋体"/>
          <w:b/>
          <w:bCs/>
          <w:color w:val="000000"/>
          <w:kern w:val="0"/>
          <w:sz w:val="28"/>
          <w:szCs w:val="28"/>
          <w:lang w:val="en-US" w:eastAsia="zh-CN" w:bidi="ar"/>
        </w:rPr>
        <w:t xml:space="preserve">  </w:t>
      </w:r>
      <w:r>
        <w:rPr>
          <w:rFonts w:hint="eastAsia" w:ascii="宋体" w:hAnsi="宋体" w:eastAsia="宋体" w:cs="宋体"/>
          <w:b/>
          <w:bCs/>
          <w:color w:val="000000"/>
          <w:kern w:val="0"/>
          <w:sz w:val="28"/>
          <w:szCs w:val="28"/>
          <w:lang w:val="en-US" w:eastAsia="zh-CN" w:bidi="ar"/>
        </w:rPr>
        <w:t>建设项目环境影响报告书（表）及其审批部门审批决定</w:t>
      </w:r>
      <w:bookmarkEnd w:id="6"/>
    </w:p>
    <w:p w14:paraId="16103A71">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（1）《和县经济开发区污水处理厂及配套管网工程项目环境影响报告书》，2020年4月16日。</w:t>
      </w:r>
    </w:p>
    <w:p w14:paraId="1B76E4BE">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（2）《关于</w:t>
      </w:r>
      <w:r>
        <w:rPr>
          <w:rFonts w:hint="eastAsia" w:ascii="宋体" w:hAnsi="宋体" w:cs="宋体"/>
          <w:color w:val="000000" w:themeColor="text1"/>
          <w:kern w:val="0"/>
          <w:sz w:val="24"/>
          <w:szCs w:val="24"/>
          <w:lang w:val="en-US" w:eastAsia="zh-CN" w:bidi="ar"/>
          <w14:textFill>
            <w14:solidFill>
              <w14:schemeClr w14:val="tx1"/>
            </w14:solidFill>
          </w14:textFill>
        </w:rPr>
        <w:t>和县三峡水环境综合治理有限责任公司</w:t>
      </w:r>
      <w:r>
        <w:rPr>
          <w:rFonts w:hint="eastAsia" w:ascii="宋体" w:hAnsi="宋体" w:eastAsia="宋体" w:cs="宋体"/>
          <w:color w:val="000000" w:themeColor="text1"/>
          <w:kern w:val="0"/>
          <w:sz w:val="24"/>
          <w:szCs w:val="24"/>
          <w:lang w:val="en-US" w:eastAsia="zh-CN" w:bidi="ar"/>
          <w14:textFill>
            <w14:solidFill>
              <w14:schemeClr w14:val="tx1"/>
            </w14:solidFill>
          </w14:textFill>
        </w:rPr>
        <w:t>和县经济开发区污水处理厂及配套管网工程项目环境影响报告书的批复》【马环审〔2020〕195号】，马鞍山市生态环境局2020年6月8日。</w:t>
      </w:r>
    </w:p>
    <w:p w14:paraId="04C45C63">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1"/>
        <w:rPr>
          <w:rFonts w:hint="eastAsia" w:ascii="宋体" w:hAnsi="宋体" w:eastAsia="宋体" w:cs="宋体"/>
          <w:b/>
          <w:bCs/>
          <w:color w:val="000000"/>
          <w:kern w:val="0"/>
          <w:sz w:val="28"/>
          <w:szCs w:val="28"/>
          <w:lang w:val="en-US" w:eastAsia="zh-CN" w:bidi="ar"/>
        </w:rPr>
      </w:pPr>
      <w:bookmarkStart w:id="7" w:name="_Toc28095"/>
      <w:r>
        <w:rPr>
          <w:rFonts w:hint="eastAsia" w:ascii="宋体" w:hAnsi="宋体" w:eastAsia="宋体" w:cs="宋体"/>
          <w:b/>
          <w:bCs/>
          <w:color w:val="000000"/>
          <w:kern w:val="0"/>
          <w:sz w:val="28"/>
          <w:szCs w:val="28"/>
          <w:lang w:val="en-US" w:eastAsia="zh-CN" w:bidi="ar"/>
        </w:rPr>
        <w:t>2.5</w:t>
      </w:r>
      <w:r>
        <w:rPr>
          <w:rFonts w:hint="eastAsia" w:ascii="宋体" w:hAnsi="宋体" w:cs="宋体"/>
          <w:b/>
          <w:bCs/>
          <w:color w:val="000000"/>
          <w:kern w:val="0"/>
          <w:sz w:val="28"/>
          <w:szCs w:val="28"/>
          <w:lang w:val="en-US" w:eastAsia="zh-CN" w:bidi="ar"/>
        </w:rPr>
        <w:t xml:space="preserve">  </w:t>
      </w:r>
      <w:r>
        <w:rPr>
          <w:rFonts w:hint="eastAsia" w:ascii="宋体" w:hAnsi="宋体" w:eastAsia="宋体" w:cs="宋体"/>
          <w:b/>
          <w:bCs/>
          <w:color w:val="000000"/>
          <w:kern w:val="0"/>
          <w:sz w:val="28"/>
          <w:szCs w:val="28"/>
          <w:lang w:val="en-US" w:eastAsia="zh-CN" w:bidi="ar"/>
        </w:rPr>
        <w:t>其他相关文件</w:t>
      </w:r>
      <w:bookmarkEnd w:id="7"/>
    </w:p>
    <w:p w14:paraId="699C3442">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（1）《和县经济开发区新建污水处理厂初步设计说明书》2020.4.3；</w:t>
      </w:r>
    </w:p>
    <w:p w14:paraId="0F6D3D3B">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（2）提供的其他资料。</w:t>
      </w:r>
    </w:p>
    <w:p w14:paraId="0348E3D5">
      <w:pPr>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br w:type="page"/>
      </w:r>
    </w:p>
    <w:p w14:paraId="7CC1B2C0">
      <w:pPr>
        <w:pStyle w:val="3"/>
        <w:keepNext/>
        <w:keepLines/>
        <w:pageBreakBefore w:val="0"/>
        <w:widowControl w:val="0"/>
        <w:kinsoku/>
        <w:wordWrap/>
        <w:overflowPunct/>
        <w:topLinePunct w:val="0"/>
        <w:autoSpaceDE/>
        <w:autoSpaceDN/>
        <w:bidi w:val="0"/>
        <w:adjustRightInd/>
        <w:snapToGrid w:val="0"/>
        <w:spacing w:before="0" w:after="0" w:line="360" w:lineRule="auto"/>
        <w:jc w:val="both"/>
        <w:textAlignment w:val="auto"/>
        <w:outlineLvl w:val="0"/>
        <w:rPr>
          <w:rFonts w:hint="default" w:ascii="宋体" w:hAnsi="宋体" w:eastAsia="宋体" w:cs="宋体"/>
          <w:sz w:val="32"/>
          <w:szCs w:val="32"/>
          <w:lang w:val="en-US" w:eastAsia="zh-CN"/>
        </w:rPr>
      </w:pPr>
      <w:bookmarkStart w:id="8" w:name="_Toc19316"/>
      <w:r>
        <w:rPr>
          <w:rFonts w:hint="eastAsia" w:ascii="宋体" w:hAnsi="宋体" w:eastAsia="宋体" w:cs="宋体"/>
          <w:sz w:val="32"/>
          <w:szCs w:val="32"/>
          <w:lang w:val="en-US" w:eastAsia="zh-CN"/>
        </w:rPr>
        <w:t>3</w:t>
      </w:r>
      <w:r>
        <w:rPr>
          <w:rFonts w:hint="eastAsia" w:ascii="宋体" w:hAnsi="宋体" w:eastAsia="宋体" w:cs="宋体"/>
          <w:b/>
          <w:bCs/>
          <w:color w:val="000000"/>
          <w:kern w:val="0"/>
          <w:sz w:val="32"/>
          <w:szCs w:val="32"/>
          <w:lang w:val="en-US" w:eastAsia="zh-CN" w:bidi="ar"/>
        </w:rPr>
        <w:t xml:space="preserve">.  </w:t>
      </w:r>
      <w:r>
        <w:rPr>
          <w:rFonts w:hint="eastAsia" w:ascii="宋体" w:hAnsi="宋体" w:eastAsia="宋体" w:cs="宋体"/>
          <w:sz w:val="32"/>
          <w:szCs w:val="32"/>
          <w:lang w:val="en-US" w:eastAsia="zh-CN"/>
        </w:rPr>
        <w:t>项目建设情况</w:t>
      </w:r>
      <w:bookmarkEnd w:id="8"/>
    </w:p>
    <w:p w14:paraId="3E87474B">
      <w:pPr>
        <w:pStyle w:val="2"/>
        <w:keepNext w:val="0"/>
        <w:keepLines w:val="0"/>
        <w:pageBreakBefore w:val="0"/>
        <w:widowControl w:val="0"/>
        <w:kinsoku/>
        <w:wordWrap/>
        <w:overflowPunct/>
        <w:topLinePunct w:val="0"/>
        <w:autoSpaceDE/>
        <w:autoSpaceDN/>
        <w:bidi w:val="0"/>
        <w:adjustRightInd/>
        <w:snapToGrid w:val="0"/>
        <w:spacing w:after="0" w:line="360" w:lineRule="auto"/>
        <w:ind w:left="0" w:leftChars="0" w:firstLine="0" w:firstLineChars="0"/>
        <w:textAlignment w:val="auto"/>
        <w:outlineLvl w:val="1"/>
        <w:rPr>
          <w:rFonts w:hint="eastAsia" w:ascii="宋体" w:hAnsi="宋体" w:eastAsia="宋体" w:cs="宋体"/>
          <w:b/>
          <w:bCs/>
          <w:color w:val="000000"/>
          <w:kern w:val="0"/>
          <w:sz w:val="28"/>
          <w:szCs w:val="28"/>
          <w:lang w:val="en-US" w:eastAsia="zh-CN" w:bidi="ar"/>
        </w:rPr>
      </w:pPr>
      <w:bookmarkStart w:id="9" w:name="_Toc29295"/>
      <w:r>
        <w:rPr>
          <w:rFonts w:hint="eastAsia" w:ascii="宋体" w:hAnsi="宋体" w:eastAsia="宋体" w:cs="宋体"/>
          <w:b/>
          <w:bCs/>
          <w:color w:val="000000"/>
          <w:kern w:val="0"/>
          <w:sz w:val="28"/>
          <w:szCs w:val="28"/>
          <w:lang w:val="en-US" w:eastAsia="zh-CN" w:bidi="ar"/>
        </w:rPr>
        <w:t>3.1</w:t>
      </w:r>
      <w:r>
        <w:rPr>
          <w:rFonts w:hint="eastAsia" w:ascii="宋体" w:hAnsi="宋体" w:cs="宋体"/>
          <w:b/>
          <w:bCs/>
          <w:color w:val="000000"/>
          <w:kern w:val="0"/>
          <w:sz w:val="28"/>
          <w:szCs w:val="28"/>
          <w:lang w:val="en-US" w:eastAsia="zh-CN" w:bidi="ar"/>
        </w:rPr>
        <w:t xml:space="preserve">  </w:t>
      </w:r>
      <w:r>
        <w:rPr>
          <w:rFonts w:hint="eastAsia" w:ascii="宋体" w:hAnsi="宋体" w:eastAsia="宋体" w:cs="宋体"/>
          <w:b/>
          <w:bCs/>
          <w:color w:val="000000"/>
          <w:kern w:val="0"/>
          <w:sz w:val="28"/>
          <w:szCs w:val="28"/>
          <w:lang w:val="en-US" w:eastAsia="zh-CN" w:bidi="ar"/>
        </w:rPr>
        <w:t>地理位置及平面布置</w:t>
      </w:r>
      <w:bookmarkEnd w:id="9"/>
    </w:p>
    <w:p w14:paraId="7C2C9847">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auto"/>
        <w:outlineLvl w:val="2"/>
        <w:rPr>
          <w:rFonts w:hint="eastAsia" w:ascii="宋体" w:hAnsi="宋体" w:eastAsia="宋体" w:cs="宋体"/>
          <w:b/>
          <w:bCs/>
          <w:color w:val="000000" w:themeColor="text1"/>
          <w:kern w:val="0"/>
          <w:sz w:val="24"/>
          <w:szCs w:val="24"/>
          <w:lang w:val="en-US" w:eastAsia="zh-CN" w:bidi="ar"/>
          <w14:textFill>
            <w14:solidFill>
              <w14:schemeClr w14:val="tx1"/>
            </w14:solidFill>
          </w14:textFill>
        </w:rPr>
      </w:pPr>
      <w:bookmarkStart w:id="10" w:name="_Toc6175"/>
      <w:r>
        <w:rPr>
          <w:rFonts w:hint="eastAsia" w:ascii="宋体" w:hAnsi="宋体" w:eastAsia="宋体" w:cs="宋体"/>
          <w:b/>
          <w:bCs/>
          <w:color w:val="000000" w:themeColor="text1"/>
          <w:kern w:val="0"/>
          <w:sz w:val="24"/>
          <w:szCs w:val="24"/>
          <w:lang w:val="en-US" w:eastAsia="zh-CN" w:bidi="ar"/>
          <w14:textFill>
            <w14:solidFill>
              <w14:schemeClr w14:val="tx1"/>
            </w14:solidFill>
          </w14:textFill>
        </w:rPr>
        <w:t>3.1.1</w:t>
      </w:r>
      <w:r>
        <w:rPr>
          <w:rFonts w:hint="eastAsia" w:ascii="宋体" w:hAnsi="宋体" w:cs="宋体"/>
          <w:b/>
          <w:bCs/>
          <w:color w:val="000000" w:themeColor="text1"/>
          <w:kern w:val="0"/>
          <w:sz w:val="24"/>
          <w:szCs w:val="24"/>
          <w:lang w:val="en-US" w:eastAsia="zh-CN" w:bidi="ar"/>
          <w14:textFill>
            <w14:solidFill>
              <w14:schemeClr w14:val="tx1"/>
            </w14:solidFill>
          </w14:textFill>
        </w:rPr>
        <w:t xml:space="preserve">  </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地理位置</w:t>
      </w:r>
      <w:bookmarkEnd w:id="10"/>
    </w:p>
    <w:p w14:paraId="05B80898">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项目位于和县经济开发区规划纬二路与经三路交口西北角，具体位置见图3.1-1。</w:t>
      </w:r>
    </w:p>
    <w:p w14:paraId="4BAC08CA">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auto"/>
        <w:outlineLvl w:val="2"/>
        <w:rPr>
          <w:rFonts w:hint="eastAsia" w:ascii="宋体" w:hAnsi="宋体" w:eastAsia="宋体" w:cs="宋体"/>
          <w:b/>
          <w:bCs/>
          <w:color w:val="000000" w:themeColor="text1"/>
          <w:kern w:val="0"/>
          <w:sz w:val="24"/>
          <w:szCs w:val="24"/>
          <w:lang w:val="en-US" w:eastAsia="zh-CN" w:bidi="ar"/>
          <w14:textFill>
            <w14:solidFill>
              <w14:schemeClr w14:val="tx1"/>
            </w14:solidFill>
          </w14:textFill>
        </w:rPr>
      </w:pPr>
      <w:bookmarkStart w:id="11" w:name="_Toc1624"/>
      <w:r>
        <w:rPr>
          <w:rFonts w:hint="eastAsia" w:ascii="宋体" w:hAnsi="宋体" w:eastAsia="宋体" w:cs="宋体"/>
          <w:b/>
          <w:bCs/>
          <w:color w:val="000000" w:themeColor="text1"/>
          <w:kern w:val="0"/>
          <w:sz w:val="24"/>
          <w:szCs w:val="24"/>
          <w:lang w:val="en-US" w:eastAsia="zh-CN" w:bidi="ar"/>
          <w14:textFill>
            <w14:solidFill>
              <w14:schemeClr w14:val="tx1"/>
            </w14:solidFill>
          </w14:textFill>
        </w:rPr>
        <w:t>3.1.2</w:t>
      </w:r>
      <w:r>
        <w:rPr>
          <w:rFonts w:hint="eastAsia" w:ascii="宋体" w:hAnsi="宋体" w:cs="宋体"/>
          <w:b/>
          <w:bCs/>
          <w:color w:val="000000" w:themeColor="text1"/>
          <w:kern w:val="0"/>
          <w:sz w:val="24"/>
          <w:szCs w:val="24"/>
          <w:lang w:val="en-US" w:eastAsia="zh-CN" w:bidi="ar"/>
          <w14:textFill>
            <w14:solidFill>
              <w14:schemeClr w14:val="tx1"/>
            </w14:solidFill>
          </w14:textFill>
        </w:rPr>
        <w:t xml:space="preserve">  </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环境保护目标</w:t>
      </w:r>
      <w:bookmarkEnd w:id="11"/>
    </w:p>
    <w:p w14:paraId="13518801">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经开区污水处理厂位于和县经济开发区规划纬二路与经三路交口西北角，区域内无文物保护和风景名胜区，项目接纳水体为双桥河，无饮用水水源保护区等环境敏感目标。经现场核实项目建成后的环境保护目标与环评阶段确定的环境保护目标一致，具体见表3.1-1、图3.1-2。</w:t>
      </w:r>
    </w:p>
    <w:p w14:paraId="0DF78505">
      <w:pPr>
        <w:keepNext w:val="0"/>
        <w:keepLines w:val="0"/>
        <w:widowControl/>
        <w:suppressLineNumbers w:val="0"/>
        <w:jc w:val="center"/>
      </w:pPr>
      <w:r>
        <w:rPr>
          <w:rFonts w:hint="eastAsia" w:ascii="宋体" w:hAnsi="宋体" w:eastAsia="宋体" w:cs="宋体"/>
          <w:b/>
          <w:bCs/>
          <w:color w:val="000000"/>
          <w:kern w:val="0"/>
          <w:sz w:val="24"/>
          <w:szCs w:val="24"/>
          <w:lang w:val="en-US" w:eastAsia="zh-CN" w:bidi="ar"/>
        </w:rPr>
        <w:t>表</w:t>
      </w:r>
      <w:r>
        <w:rPr>
          <w:rFonts w:hint="eastAsia" w:ascii="宋体" w:hAnsi="宋体" w:cs="宋体"/>
          <w:b/>
          <w:bCs/>
          <w:color w:val="000000"/>
          <w:kern w:val="0"/>
          <w:sz w:val="24"/>
          <w:szCs w:val="24"/>
          <w:lang w:val="en-US" w:eastAsia="zh-CN" w:bidi="ar"/>
        </w:rPr>
        <w:t>3.1-1</w:t>
      </w:r>
      <w:r>
        <w:rPr>
          <w:rFonts w:hint="eastAsia" w:ascii="宋体" w:hAnsi="宋体" w:eastAsia="宋体" w:cs="宋体"/>
          <w:b/>
          <w:bCs/>
          <w:color w:val="000000"/>
          <w:kern w:val="0"/>
          <w:sz w:val="24"/>
          <w:szCs w:val="24"/>
          <w:lang w:val="en-US" w:eastAsia="zh-CN" w:bidi="ar"/>
        </w:rPr>
        <w:t>敏感目标一览表</w:t>
      </w:r>
    </w:p>
    <w:tbl>
      <w:tblPr>
        <w:tblStyle w:val="1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1935"/>
        <w:gridCol w:w="814"/>
        <w:gridCol w:w="872"/>
        <w:gridCol w:w="2243"/>
        <w:gridCol w:w="1386"/>
      </w:tblGrid>
      <w:tr w14:paraId="3A20F0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4" w:type="pct"/>
            <w:noWrap w:val="0"/>
            <w:vAlign w:val="center"/>
          </w:tcPr>
          <w:p w14:paraId="3C59F8B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环境</w:t>
            </w:r>
          </w:p>
          <w:p w14:paraId="795FA48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要素</w:t>
            </w:r>
          </w:p>
        </w:tc>
        <w:tc>
          <w:tcPr>
            <w:tcW w:w="1135" w:type="pct"/>
            <w:noWrap w:val="0"/>
            <w:vAlign w:val="center"/>
          </w:tcPr>
          <w:p w14:paraId="789121F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保护对象名称</w:t>
            </w:r>
          </w:p>
        </w:tc>
        <w:tc>
          <w:tcPr>
            <w:tcW w:w="477" w:type="pct"/>
            <w:noWrap w:val="0"/>
            <w:vAlign w:val="center"/>
          </w:tcPr>
          <w:p w14:paraId="32EE5C9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方位</w:t>
            </w:r>
          </w:p>
        </w:tc>
        <w:tc>
          <w:tcPr>
            <w:tcW w:w="511" w:type="pct"/>
            <w:noWrap w:val="0"/>
            <w:vAlign w:val="center"/>
          </w:tcPr>
          <w:p w14:paraId="53DDC80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距离（m）</w:t>
            </w:r>
          </w:p>
        </w:tc>
        <w:tc>
          <w:tcPr>
            <w:tcW w:w="1316" w:type="pct"/>
            <w:noWrap w:val="0"/>
            <w:vAlign w:val="center"/>
          </w:tcPr>
          <w:p w14:paraId="7ACBA06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规模</w:t>
            </w:r>
          </w:p>
        </w:tc>
        <w:tc>
          <w:tcPr>
            <w:tcW w:w="813" w:type="pct"/>
            <w:noWrap w:val="0"/>
            <w:vAlign w:val="center"/>
          </w:tcPr>
          <w:p w14:paraId="1785919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lang w:val="en-US" w:eastAsia="zh-CN"/>
                <w14:textFill>
                  <w14:solidFill>
                    <w14:schemeClr w14:val="tx1"/>
                  </w14:solidFill>
                </w14:textFill>
              </w:rPr>
            </w:pPr>
            <w:r>
              <w:rPr>
                <w:rFonts w:hint="eastAsia" w:ascii="宋体" w:hAnsi="宋体" w:eastAsia="宋体" w:cs="宋体"/>
                <w:b/>
                <w:color w:val="000000" w:themeColor="text1"/>
                <w:sz w:val="21"/>
                <w:szCs w:val="21"/>
                <w:lang w:val="en-US" w:eastAsia="zh-CN"/>
                <w14:textFill>
                  <w14:solidFill>
                    <w14:schemeClr w14:val="tx1"/>
                  </w14:solidFill>
                </w14:textFill>
              </w:rPr>
              <w:t>环境功能区</w:t>
            </w:r>
          </w:p>
        </w:tc>
      </w:tr>
      <w:tr w14:paraId="134249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4" w:type="pct"/>
            <w:vMerge w:val="restart"/>
            <w:noWrap w:val="0"/>
            <w:vAlign w:val="center"/>
          </w:tcPr>
          <w:p w14:paraId="1173766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大气环境/</w:t>
            </w:r>
            <w:r>
              <w:rPr>
                <w:rFonts w:hint="eastAsia" w:ascii="宋体" w:hAnsi="宋体" w:eastAsia="宋体" w:cs="宋体"/>
                <w:color w:val="000000" w:themeColor="text1"/>
                <w:sz w:val="21"/>
                <w:szCs w:val="21"/>
                <w14:textFill>
                  <w14:solidFill>
                    <w14:schemeClr w14:val="tx1"/>
                  </w14:solidFill>
                </w14:textFill>
              </w:rPr>
              <w:t>大气环境</w:t>
            </w:r>
          </w:p>
        </w:tc>
        <w:tc>
          <w:tcPr>
            <w:tcW w:w="1135" w:type="pct"/>
            <w:noWrap w:val="0"/>
            <w:vAlign w:val="center"/>
          </w:tcPr>
          <w:p w14:paraId="0A1C4B9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鱼网</w:t>
            </w:r>
          </w:p>
        </w:tc>
        <w:tc>
          <w:tcPr>
            <w:tcW w:w="477" w:type="pct"/>
            <w:noWrap w:val="0"/>
            <w:vAlign w:val="center"/>
          </w:tcPr>
          <w:p w14:paraId="711C591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N</w:t>
            </w:r>
          </w:p>
        </w:tc>
        <w:tc>
          <w:tcPr>
            <w:tcW w:w="511" w:type="pct"/>
            <w:noWrap w:val="0"/>
            <w:vAlign w:val="center"/>
          </w:tcPr>
          <w:p w14:paraId="4D83B8B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370</w:t>
            </w:r>
          </w:p>
        </w:tc>
        <w:tc>
          <w:tcPr>
            <w:tcW w:w="1316" w:type="pct"/>
            <w:noWrap w:val="0"/>
            <w:vAlign w:val="center"/>
          </w:tcPr>
          <w:p w14:paraId="094A694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20户，80人</w:t>
            </w:r>
          </w:p>
        </w:tc>
        <w:tc>
          <w:tcPr>
            <w:tcW w:w="813" w:type="pct"/>
            <w:vMerge w:val="restart"/>
            <w:noWrap w:val="0"/>
            <w:vAlign w:val="center"/>
          </w:tcPr>
          <w:p w14:paraId="3FC8450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《环境空气质量标准》（GB3095-2012）及修改单</w:t>
            </w:r>
            <w:r>
              <w:rPr>
                <w:rFonts w:hint="eastAsia" w:ascii="宋体" w:hAnsi="宋体" w:eastAsia="宋体" w:cs="宋体"/>
                <w:kern w:val="0"/>
                <w:sz w:val="21"/>
                <w:szCs w:val="21"/>
              </w:rPr>
              <w:t>二类区标准</w:t>
            </w:r>
          </w:p>
        </w:tc>
      </w:tr>
      <w:tr w14:paraId="580106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4" w:type="pct"/>
            <w:vMerge w:val="continue"/>
            <w:noWrap w:val="0"/>
            <w:vAlign w:val="center"/>
          </w:tcPr>
          <w:p w14:paraId="75B2EDD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p>
        </w:tc>
        <w:tc>
          <w:tcPr>
            <w:tcW w:w="1135" w:type="pct"/>
            <w:noWrap w:val="0"/>
            <w:vAlign w:val="center"/>
          </w:tcPr>
          <w:p w14:paraId="249DBA0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邵李村</w:t>
            </w:r>
          </w:p>
        </w:tc>
        <w:tc>
          <w:tcPr>
            <w:tcW w:w="477" w:type="pct"/>
            <w:noWrap w:val="0"/>
            <w:vAlign w:val="center"/>
          </w:tcPr>
          <w:p w14:paraId="30B9EF8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N</w:t>
            </w:r>
          </w:p>
        </w:tc>
        <w:tc>
          <w:tcPr>
            <w:tcW w:w="511" w:type="pct"/>
            <w:noWrap w:val="0"/>
            <w:vAlign w:val="center"/>
          </w:tcPr>
          <w:p w14:paraId="1A23D0C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550</w:t>
            </w:r>
          </w:p>
        </w:tc>
        <w:tc>
          <w:tcPr>
            <w:tcW w:w="1316" w:type="pct"/>
            <w:noWrap w:val="0"/>
            <w:vAlign w:val="center"/>
          </w:tcPr>
          <w:p w14:paraId="01D5540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50户，200人</w:t>
            </w:r>
          </w:p>
        </w:tc>
        <w:tc>
          <w:tcPr>
            <w:tcW w:w="813" w:type="pct"/>
            <w:vMerge w:val="continue"/>
            <w:noWrap w:val="0"/>
            <w:vAlign w:val="center"/>
          </w:tcPr>
          <w:p w14:paraId="7536307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14:textFill>
                  <w14:solidFill>
                    <w14:schemeClr w14:val="tx1"/>
                  </w14:solidFill>
                </w14:textFill>
              </w:rPr>
            </w:pPr>
          </w:p>
        </w:tc>
      </w:tr>
      <w:tr w14:paraId="038524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4" w:type="pct"/>
            <w:vMerge w:val="continue"/>
            <w:noWrap w:val="0"/>
            <w:vAlign w:val="center"/>
          </w:tcPr>
          <w:p w14:paraId="6F821E1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p>
        </w:tc>
        <w:tc>
          <w:tcPr>
            <w:tcW w:w="1135" w:type="pct"/>
            <w:noWrap w:val="0"/>
            <w:vAlign w:val="center"/>
          </w:tcPr>
          <w:p w14:paraId="38EFC9F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李丈三</w:t>
            </w:r>
          </w:p>
        </w:tc>
        <w:tc>
          <w:tcPr>
            <w:tcW w:w="477" w:type="pct"/>
            <w:noWrap w:val="0"/>
            <w:vAlign w:val="center"/>
          </w:tcPr>
          <w:p w14:paraId="5D073BB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N</w:t>
            </w:r>
          </w:p>
        </w:tc>
        <w:tc>
          <w:tcPr>
            <w:tcW w:w="511" w:type="pct"/>
            <w:noWrap w:val="0"/>
            <w:vAlign w:val="center"/>
          </w:tcPr>
          <w:p w14:paraId="7D2684E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500</w:t>
            </w:r>
          </w:p>
        </w:tc>
        <w:tc>
          <w:tcPr>
            <w:tcW w:w="1316" w:type="pct"/>
            <w:noWrap w:val="0"/>
            <w:vAlign w:val="center"/>
          </w:tcPr>
          <w:p w14:paraId="5CB1851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35户，140人</w:t>
            </w:r>
          </w:p>
        </w:tc>
        <w:tc>
          <w:tcPr>
            <w:tcW w:w="813" w:type="pct"/>
            <w:vMerge w:val="continue"/>
            <w:noWrap w:val="0"/>
            <w:vAlign w:val="center"/>
          </w:tcPr>
          <w:p w14:paraId="50E1817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14:textFill>
                  <w14:solidFill>
                    <w14:schemeClr w14:val="tx1"/>
                  </w14:solidFill>
                </w14:textFill>
              </w:rPr>
            </w:pPr>
          </w:p>
        </w:tc>
      </w:tr>
      <w:tr w14:paraId="59B6CA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44" w:type="pct"/>
            <w:vMerge w:val="continue"/>
            <w:noWrap w:val="0"/>
            <w:vAlign w:val="center"/>
          </w:tcPr>
          <w:p w14:paraId="3756EDE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p>
        </w:tc>
        <w:tc>
          <w:tcPr>
            <w:tcW w:w="1135" w:type="pct"/>
            <w:noWrap w:val="0"/>
            <w:vAlign w:val="center"/>
          </w:tcPr>
          <w:p w14:paraId="186A75E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李家保</w:t>
            </w:r>
          </w:p>
        </w:tc>
        <w:tc>
          <w:tcPr>
            <w:tcW w:w="477" w:type="pct"/>
            <w:noWrap w:val="0"/>
            <w:vAlign w:val="center"/>
          </w:tcPr>
          <w:p w14:paraId="7F4B782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N</w:t>
            </w:r>
          </w:p>
        </w:tc>
        <w:tc>
          <w:tcPr>
            <w:tcW w:w="511" w:type="pct"/>
            <w:noWrap w:val="0"/>
            <w:vAlign w:val="center"/>
          </w:tcPr>
          <w:p w14:paraId="2FC0D62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520</w:t>
            </w:r>
          </w:p>
        </w:tc>
        <w:tc>
          <w:tcPr>
            <w:tcW w:w="1316" w:type="pct"/>
            <w:noWrap w:val="0"/>
            <w:vAlign w:val="center"/>
          </w:tcPr>
          <w:p w14:paraId="28A6E37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25户，100人</w:t>
            </w:r>
          </w:p>
        </w:tc>
        <w:tc>
          <w:tcPr>
            <w:tcW w:w="813" w:type="pct"/>
            <w:vMerge w:val="continue"/>
            <w:noWrap w:val="0"/>
            <w:vAlign w:val="center"/>
          </w:tcPr>
          <w:p w14:paraId="672AA39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14:textFill>
                  <w14:solidFill>
                    <w14:schemeClr w14:val="tx1"/>
                  </w14:solidFill>
                </w14:textFill>
              </w:rPr>
            </w:pPr>
          </w:p>
        </w:tc>
      </w:tr>
      <w:tr w14:paraId="30746B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4" w:type="pct"/>
            <w:vMerge w:val="continue"/>
            <w:noWrap w:val="0"/>
            <w:vAlign w:val="center"/>
          </w:tcPr>
          <w:p w14:paraId="091EE33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p>
        </w:tc>
        <w:tc>
          <w:tcPr>
            <w:tcW w:w="1135" w:type="pct"/>
            <w:noWrap w:val="0"/>
            <w:vAlign w:val="center"/>
          </w:tcPr>
          <w:p w14:paraId="14F09D8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朱公程</w:t>
            </w:r>
          </w:p>
        </w:tc>
        <w:tc>
          <w:tcPr>
            <w:tcW w:w="477" w:type="pct"/>
            <w:noWrap w:val="0"/>
            <w:vAlign w:val="center"/>
          </w:tcPr>
          <w:p w14:paraId="7590353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N</w:t>
            </w:r>
          </w:p>
        </w:tc>
        <w:tc>
          <w:tcPr>
            <w:tcW w:w="511" w:type="pct"/>
            <w:noWrap w:val="0"/>
            <w:vAlign w:val="center"/>
          </w:tcPr>
          <w:p w14:paraId="7E64F14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1300</w:t>
            </w:r>
          </w:p>
        </w:tc>
        <w:tc>
          <w:tcPr>
            <w:tcW w:w="1316" w:type="pct"/>
            <w:noWrap w:val="0"/>
            <w:vAlign w:val="center"/>
          </w:tcPr>
          <w:p w14:paraId="3C4B2D0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10户，40人</w:t>
            </w:r>
          </w:p>
        </w:tc>
        <w:tc>
          <w:tcPr>
            <w:tcW w:w="813" w:type="pct"/>
            <w:vMerge w:val="continue"/>
            <w:noWrap w:val="0"/>
            <w:vAlign w:val="center"/>
          </w:tcPr>
          <w:p w14:paraId="6B900E5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14:textFill>
                  <w14:solidFill>
                    <w14:schemeClr w14:val="tx1"/>
                  </w14:solidFill>
                </w14:textFill>
              </w:rPr>
            </w:pPr>
          </w:p>
        </w:tc>
      </w:tr>
      <w:tr w14:paraId="18BE91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4" w:type="pct"/>
            <w:vMerge w:val="continue"/>
            <w:noWrap w:val="0"/>
            <w:vAlign w:val="center"/>
          </w:tcPr>
          <w:p w14:paraId="22251EF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p>
        </w:tc>
        <w:tc>
          <w:tcPr>
            <w:tcW w:w="1135" w:type="pct"/>
            <w:noWrap w:val="0"/>
            <w:vAlign w:val="center"/>
          </w:tcPr>
          <w:p w14:paraId="6116296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小晏村</w:t>
            </w:r>
          </w:p>
        </w:tc>
        <w:tc>
          <w:tcPr>
            <w:tcW w:w="477" w:type="pct"/>
            <w:noWrap w:val="0"/>
            <w:vAlign w:val="center"/>
          </w:tcPr>
          <w:p w14:paraId="400FE6A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N</w:t>
            </w:r>
          </w:p>
        </w:tc>
        <w:tc>
          <w:tcPr>
            <w:tcW w:w="511" w:type="pct"/>
            <w:noWrap w:val="0"/>
            <w:vAlign w:val="center"/>
          </w:tcPr>
          <w:p w14:paraId="6DBAC5F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1400</w:t>
            </w:r>
          </w:p>
        </w:tc>
        <w:tc>
          <w:tcPr>
            <w:tcW w:w="1316" w:type="pct"/>
            <w:noWrap w:val="0"/>
            <w:vAlign w:val="center"/>
          </w:tcPr>
          <w:p w14:paraId="168E9A0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10户，40人</w:t>
            </w:r>
          </w:p>
        </w:tc>
        <w:tc>
          <w:tcPr>
            <w:tcW w:w="813" w:type="pct"/>
            <w:vMerge w:val="continue"/>
            <w:noWrap w:val="0"/>
            <w:vAlign w:val="center"/>
          </w:tcPr>
          <w:p w14:paraId="57CEAB4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14:textFill>
                  <w14:solidFill>
                    <w14:schemeClr w14:val="tx1"/>
                  </w14:solidFill>
                </w14:textFill>
              </w:rPr>
            </w:pPr>
          </w:p>
        </w:tc>
      </w:tr>
      <w:tr w14:paraId="08E82B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4" w:type="pct"/>
            <w:vMerge w:val="continue"/>
            <w:noWrap w:val="0"/>
            <w:vAlign w:val="center"/>
          </w:tcPr>
          <w:p w14:paraId="263FF73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p>
        </w:tc>
        <w:tc>
          <w:tcPr>
            <w:tcW w:w="1135" w:type="pct"/>
            <w:noWrap w:val="0"/>
            <w:vAlign w:val="center"/>
          </w:tcPr>
          <w:p w14:paraId="19CE21C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濮集初级中学</w:t>
            </w:r>
          </w:p>
        </w:tc>
        <w:tc>
          <w:tcPr>
            <w:tcW w:w="477" w:type="pct"/>
            <w:noWrap w:val="0"/>
            <w:vAlign w:val="center"/>
          </w:tcPr>
          <w:p w14:paraId="1C43236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N</w:t>
            </w:r>
          </w:p>
        </w:tc>
        <w:tc>
          <w:tcPr>
            <w:tcW w:w="511" w:type="pct"/>
            <w:noWrap w:val="0"/>
            <w:vAlign w:val="center"/>
          </w:tcPr>
          <w:p w14:paraId="0B7A736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1800</w:t>
            </w:r>
          </w:p>
        </w:tc>
        <w:tc>
          <w:tcPr>
            <w:tcW w:w="1316" w:type="pct"/>
            <w:noWrap w:val="0"/>
            <w:vAlign w:val="center"/>
          </w:tcPr>
          <w:p w14:paraId="638D95E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约800名师生</w:t>
            </w:r>
          </w:p>
        </w:tc>
        <w:tc>
          <w:tcPr>
            <w:tcW w:w="813" w:type="pct"/>
            <w:vMerge w:val="continue"/>
            <w:noWrap w:val="0"/>
            <w:vAlign w:val="center"/>
          </w:tcPr>
          <w:p w14:paraId="5B4ADBF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14:textFill>
                  <w14:solidFill>
                    <w14:schemeClr w14:val="tx1"/>
                  </w14:solidFill>
                </w14:textFill>
              </w:rPr>
            </w:pPr>
          </w:p>
        </w:tc>
      </w:tr>
      <w:tr w14:paraId="067695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4" w:type="pct"/>
            <w:vMerge w:val="continue"/>
            <w:noWrap w:val="0"/>
            <w:vAlign w:val="center"/>
          </w:tcPr>
          <w:p w14:paraId="4823034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p>
        </w:tc>
        <w:tc>
          <w:tcPr>
            <w:tcW w:w="1135" w:type="pct"/>
            <w:noWrap w:val="0"/>
            <w:vAlign w:val="center"/>
          </w:tcPr>
          <w:p w14:paraId="2922FC0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濮集乡</w:t>
            </w:r>
          </w:p>
        </w:tc>
        <w:tc>
          <w:tcPr>
            <w:tcW w:w="477" w:type="pct"/>
            <w:noWrap w:val="0"/>
            <w:vAlign w:val="center"/>
          </w:tcPr>
          <w:p w14:paraId="552A915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N</w:t>
            </w:r>
          </w:p>
        </w:tc>
        <w:tc>
          <w:tcPr>
            <w:tcW w:w="511" w:type="pct"/>
            <w:noWrap w:val="0"/>
            <w:vAlign w:val="center"/>
          </w:tcPr>
          <w:p w14:paraId="69C4080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1600</w:t>
            </w:r>
          </w:p>
        </w:tc>
        <w:tc>
          <w:tcPr>
            <w:tcW w:w="1316" w:type="pct"/>
            <w:noWrap w:val="0"/>
            <w:vAlign w:val="center"/>
          </w:tcPr>
          <w:p w14:paraId="41FF4C5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约8000人</w:t>
            </w:r>
          </w:p>
        </w:tc>
        <w:tc>
          <w:tcPr>
            <w:tcW w:w="813" w:type="pct"/>
            <w:vMerge w:val="continue"/>
            <w:noWrap w:val="0"/>
            <w:vAlign w:val="center"/>
          </w:tcPr>
          <w:p w14:paraId="7FC45E5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14:textFill>
                  <w14:solidFill>
                    <w14:schemeClr w14:val="tx1"/>
                  </w14:solidFill>
                </w14:textFill>
              </w:rPr>
            </w:pPr>
          </w:p>
        </w:tc>
      </w:tr>
      <w:tr w14:paraId="5D5EA3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4" w:type="pct"/>
            <w:vMerge w:val="continue"/>
            <w:noWrap w:val="0"/>
            <w:vAlign w:val="center"/>
          </w:tcPr>
          <w:p w14:paraId="61320DB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p>
        </w:tc>
        <w:tc>
          <w:tcPr>
            <w:tcW w:w="1135" w:type="pct"/>
            <w:noWrap w:val="0"/>
            <w:vAlign w:val="center"/>
          </w:tcPr>
          <w:p w14:paraId="0708E07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许油坊</w:t>
            </w:r>
          </w:p>
        </w:tc>
        <w:tc>
          <w:tcPr>
            <w:tcW w:w="477" w:type="pct"/>
            <w:noWrap w:val="0"/>
            <w:vAlign w:val="center"/>
          </w:tcPr>
          <w:p w14:paraId="7F44D16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NNE</w:t>
            </w:r>
          </w:p>
        </w:tc>
        <w:tc>
          <w:tcPr>
            <w:tcW w:w="511" w:type="pct"/>
            <w:noWrap w:val="0"/>
            <w:vAlign w:val="center"/>
          </w:tcPr>
          <w:p w14:paraId="49E4774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1100</w:t>
            </w:r>
          </w:p>
        </w:tc>
        <w:tc>
          <w:tcPr>
            <w:tcW w:w="1316" w:type="pct"/>
            <w:noWrap w:val="0"/>
            <w:vAlign w:val="center"/>
          </w:tcPr>
          <w:p w14:paraId="30D09B3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10户，40人</w:t>
            </w:r>
          </w:p>
        </w:tc>
        <w:tc>
          <w:tcPr>
            <w:tcW w:w="813" w:type="pct"/>
            <w:vMerge w:val="continue"/>
            <w:noWrap w:val="0"/>
            <w:vAlign w:val="center"/>
          </w:tcPr>
          <w:p w14:paraId="7A9C655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14:textFill>
                  <w14:solidFill>
                    <w14:schemeClr w14:val="tx1"/>
                  </w14:solidFill>
                </w14:textFill>
              </w:rPr>
            </w:pPr>
          </w:p>
        </w:tc>
      </w:tr>
      <w:tr w14:paraId="20B2B8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4" w:type="pct"/>
            <w:vMerge w:val="continue"/>
            <w:noWrap w:val="0"/>
            <w:vAlign w:val="center"/>
          </w:tcPr>
          <w:p w14:paraId="1327FFC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p>
        </w:tc>
        <w:tc>
          <w:tcPr>
            <w:tcW w:w="1135" w:type="pct"/>
            <w:noWrap w:val="0"/>
            <w:vAlign w:val="top"/>
          </w:tcPr>
          <w:p w14:paraId="010137B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朱村</w:t>
            </w:r>
          </w:p>
        </w:tc>
        <w:tc>
          <w:tcPr>
            <w:tcW w:w="477" w:type="pct"/>
            <w:noWrap w:val="0"/>
            <w:vAlign w:val="top"/>
          </w:tcPr>
          <w:p w14:paraId="14D2984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NNE</w:t>
            </w:r>
          </w:p>
        </w:tc>
        <w:tc>
          <w:tcPr>
            <w:tcW w:w="511" w:type="pct"/>
            <w:noWrap w:val="0"/>
            <w:vAlign w:val="top"/>
          </w:tcPr>
          <w:p w14:paraId="674122D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1500</w:t>
            </w:r>
          </w:p>
        </w:tc>
        <w:tc>
          <w:tcPr>
            <w:tcW w:w="1316" w:type="pct"/>
            <w:noWrap w:val="0"/>
            <w:vAlign w:val="top"/>
          </w:tcPr>
          <w:p w14:paraId="4A93FA5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40户，160人</w:t>
            </w:r>
          </w:p>
        </w:tc>
        <w:tc>
          <w:tcPr>
            <w:tcW w:w="813" w:type="pct"/>
            <w:vMerge w:val="continue"/>
            <w:noWrap w:val="0"/>
            <w:vAlign w:val="center"/>
          </w:tcPr>
          <w:p w14:paraId="27E4D38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14:textFill>
                  <w14:solidFill>
                    <w14:schemeClr w14:val="tx1"/>
                  </w14:solidFill>
                </w14:textFill>
              </w:rPr>
            </w:pPr>
          </w:p>
        </w:tc>
      </w:tr>
      <w:tr w14:paraId="7C9DE9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4" w:type="pct"/>
            <w:vMerge w:val="continue"/>
            <w:noWrap w:val="0"/>
            <w:vAlign w:val="center"/>
          </w:tcPr>
          <w:p w14:paraId="1786B2C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p>
        </w:tc>
        <w:tc>
          <w:tcPr>
            <w:tcW w:w="1135" w:type="pct"/>
            <w:noWrap w:val="0"/>
            <w:vAlign w:val="center"/>
          </w:tcPr>
          <w:p w14:paraId="46B28CF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孙庄</w:t>
            </w:r>
          </w:p>
        </w:tc>
        <w:tc>
          <w:tcPr>
            <w:tcW w:w="477" w:type="pct"/>
            <w:noWrap w:val="0"/>
            <w:vAlign w:val="center"/>
          </w:tcPr>
          <w:p w14:paraId="06C6834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NE</w:t>
            </w:r>
          </w:p>
        </w:tc>
        <w:tc>
          <w:tcPr>
            <w:tcW w:w="511" w:type="pct"/>
            <w:noWrap w:val="0"/>
            <w:vAlign w:val="center"/>
          </w:tcPr>
          <w:p w14:paraId="72E332D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1400</w:t>
            </w:r>
          </w:p>
        </w:tc>
        <w:tc>
          <w:tcPr>
            <w:tcW w:w="1316" w:type="pct"/>
            <w:noWrap w:val="0"/>
            <w:vAlign w:val="center"/>
          </w:tcPr>
          <w:p w14:paraId="39EC3E3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120户，850人</w:t>
            </w:r>
          </w:p>
        </w:tc>
        <w:tc>
          <w:tcPr>
            <w:tcW w:w="813" w:type="pct"/>
            <w:vMerge w:val="continue"/>
            <w:noWrap w:val="0"/>
            <w:vAlign w:val="center"/>
          </w:tcPr>
          <w:p w14:paraId="7823FCF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14:textFill>
                  <w14:solidFill>
                    <w14:schemeClr w14:val="tx1"/>
                  </w14:solidFill>
                </w14:textFill>
              </w:rPr>
            </w:pPr>
          </w:p>
        </w:tc>
      </w:tr>
      <w:tr w14:paraId="58A292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4" w:type="pct"/>
            <w:vMerge w:val="continue"/>
            <w:noWrap w:val="0"/>
            <w:vAlign w:val="center"/>
          </w:tcPr>
          <w:p w14:paraId="2E55C49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p>
        </w:tc>
        <w:tc>
          <w:tcPr>
            <w:tcW w:w="1135" w:type="pct"/>
            <w:noWrap w:val="0"/>
            <w:vAlign w:val="center"/>
          </w:tcPr>
          <w:p w14:paraId="1DA164E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严庄</w:t>
            </w:r>
          </w:p>
        </w:tc>
        <w:tc>
          <w:tcPr>
            <w:tcW w:w="477" w:type="pct"/>
            <w:noWrap w:val="0"/>
            <w:vAlign w:val="center"/>
          </w:tcPr>
          <w:p w14:paraId="1E38961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NE</w:t>
            </w:r>
          </w:p>
        </w:tc>
        <w:tc>
          <w:tcPr>
            <w:tcW w:w="511" w:type="pct"/>
            <w:noWrap w:val="0"/>
            <w:vAlign w:val="center"/>
          </w:tcPr>
          <w:p w14:paraId="1B0118C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2200</w:t>
            </w:r>
          </w:p>
        </w:tc>
        <w:tc>
          <w:tcPr>
            <w:tcW w:w="1316" w:type="pct"/>
            <w:noWrap w:val="0"/>
            <w:vAlign w:val="center"/>
          </w:tcPr>
          <w:p w14:paraId="51F5732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45户，180人</w:t>
            </w:r>
          </w:p>
        </w:tc>
        <w:tc>
          <w:tcPr>
            <w:tcW w:w="813" w:type="pct"/>
            <w:vMerge w:val="continue"/>
            <w:noWrap w:val="0"/>
            <w:vAlign w:val="center"/>
          </w:tcPr>
          <w:p w14:paraId="256C576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14:textFill>
                  <w14:solidFill>
                    <w14:schemeClr w14:val="tx1"/>
                  </w14:solidFill>
                </w14:textFill>
              </w:rPr>
            </w:pPr>
          </w:p>
        </w:tc>
      </w:tr>
      <w:tr w14:paraId="7C949E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4" w:type="pct"/>
            <w:vMerge w:val="continue"/>
            <w:noWrap w:val="0"/>
            <w:vAlign w:val="center"/>
          </w:tcPr>
          <w:p w14:paraId="21B3C49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p>
        </w:tc>
        <w:tc>
          <w:tcPr>
            <w:tcW w:w="1135" w:type="pct"/>
            <w:noWrap w:val="0"/>
            <w:vAlign w:val="center"/>
          </w:tcPr>
          <w:p w14:paraId="2928053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一门赵</w:t>
            </w:r>
          </w:p>
        </w:tc>
        <w:tc>
          <w:tcPr>
            <w:tcW w:w="477" w:type="pct"/>
            <w:noWrap w:val="0"/>
            <w:vAlign w:val="center"/>
          </w:tcPr>
          <w:p w14:paraId="0D57BC3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ENE</w:t>
            </w:r>
          </w:p>
        </w:tc>
        <w:tc>
          <w:tcPr>
            <w:tcW w:w="511" w:type="pct"/>
            <w:noWrap w:val="0"/>
            <w:vAlign w:val="center"/>
          </w:tcPr>
          <w:p w14:paraId="5B1629E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1500</w:t>
            </w:r>
          </w:p>
        </w:tc>
        <w:tc>
          <w:tcPr>
            <w:tcW w:w="1316" w:type="pct"/>
            <w:noWrap w:val="0"/>
            <w:vAlign w:val="center"/>
          </w:tcPr>
          <w:p w14:paraId="0EFD5B5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40户，160人</w:t>
            </w:r>
          </w:p>
        </w:tc>
        <w:tc>
          <w:tcPr>
            <w:tcW w:w="813" w:type="pct"/>
            <w:vMerge w:val="continue"/>
            <w:noWrap w:val="0"/>
            <w:vAlign w:val="center"/>
          </w:tcPr>
          <w:p w14:paraId="5D54A91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14:textFill>
                  <w14:solidFill>
                    <w14:schemeClr w14:val="tx1"/>
                  </w14:solidFill>
                </w14:textFill>
              </w:rPr>
            </w:pPr>
          </w:p>
        </w:tc>
      </w:tr>
      <w:tr w14:paraId="6505C9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4" w:type="pct"/>
            <w:vMerge w:val="continue"/>
            <w:noWrap w:val="0"/>
            <w:vAlign w:val="center"/>
          </w:tcPr>
          <w:p w14:paraId="198E485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p>
        </w:tc>
        <w:tc>
          <w:tcPr>
            <w:tcW w:w="1135" w:type="pct"/>
            <w:noWrap w:val="0"/>
            <w:vAlign w:val="center"/>
          </w:tcPr>
          <w:p w14:paraId="409605A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塘墩子</w:t>
            </w:r>
          </w:p>
        </w:tc>
        <w:tc>
          <w:tcPr>
            <w:tcW w:w="477" w:type="pct"/>
            <w:noWrap w:val="0"/>
            <w:vAlign w:val="center"/>
          </w:tcPr>
          <w:p w14:paraId="4F11F3E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ENE</w:t>
            </w:r>
          </w:p>
        </w:tc>
        <w:tc>
          <w:tcPr>
            <w:tcW w:w="511" w:type="pct"/>
            <w:noWrap w:val="0"/>
            <w:vAlign w:val="center"/>
          </w:tcPr>
          <w:p w14:paraId="0B1C056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750</w:t>
            </w:r>
          </w:p>
        </w:tc>
        <w:tc>
          <w:tcPr>
            <w:tcW w:w="1316" w:type="pct"/>
            <w:noWrap w:val="0"/>
            <w:vAlign w:val="center"/>
          </w:tcPr>
          <w:p w14:paraId="758CF1A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8户，32人</w:t>
            </w:r>
          </w:p>
        </w:tc>
        <w:tc>
          <w:tcPr>
            <w:tcW w:w="813" w:type="pct"/>
            <w:vMerge w:val="continue"/>
            <w:noWrap w:val="0"/>
            <w:vAlign w:val="center"/>
          </w:tcPr>
          <w:p w14:paraId="4AE7E5A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14:textFill>
                  <w14:solidFill>
                    <w14:schemeClr w14:val="tx1"/>
                  </w14:solidFill>
                </w14:textFill>
              </w:rPr>
            </w:pPr>
          </w:p>
        </w:tc>
      </w:tr>
      <w:tr w14:paraId="3D019A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4" w:type="pct"/>
            <w:vMerge w:val="continue"/>
            <w:noWrap w:val="0"/>
            <w:vAlign w:val="center"/>
          </w:tcPr>
          <w:p w14:paraId="54E9DA8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p>
        </w:tc>
        <w:tc>
          <w:tcPr>
            <w:tcW w:w="1135" w:type="pct"/>
            <w:noWrap w:val="0"/>
            <w:vAlign w:val="center"/>
          </w:tcPr>
          <w:p w14:paraId="16F7BEE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芮冲</w:t>
            </w:r>
          </w:p>
        </w:tc>
        <w:tc>
          <w:tcPr>
            <w:tcW w:w="477" w:type="pct"/>
            <w:noWrap w:val="0"/>
            <w:vAlign w:val="center"/>
          </w:tcPr>
          <w:p w14:paraId="50A4FF2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E</w:t>
            </w:r>
          </w:p>
        </w:tc>
        <w:tc>
          <w:tcPr>
            <w:tcW w:w="511" w:type="pct"/>
            <w:noWrap w:val="0"/>
            <w:vAlign w:val="center"/>
          </w:tcPr>
          <w:p w14:paraId="490F31D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1600</w:t>
            </w:r>
          </w:p>
        </w:tc>
        <w:tc>
          <w:tcPr>
            <w:tcW w:w="1316" w:type="pct"/>
            <w:noWrap w:val="0"/>
            <w:vAlign w:val="center"/>
          </w:tcPr>
          <w:p w14:paraId="0F6245F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40户，160人</w:t>
            </w:r>
          </w:p>
        </w:tc>
        <w:tc>
          <w:tcPr>
            <w:tcW w:w="813" w:type="pct"/>
            <w:vMerge w:val="continue"/>
            <w:noWrap w:val="0"/>
            <w:vAlign w:val="center"/>
          </w:tcPr>
          <w:p w14:paraId="06B4F16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14:textFill>
                  <w14:solidFill>
                    <w14:schemeClr w14:val="tx1"/>
                  </w14:solidFill>
                </w14:textFill>
              </w:rPr>
            </w:pPr>
          </w:p>
        </w:tc>
      </w:tr>
      <w:tr w14:paraId="53123A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4" w:type="pct"/>
            <w:vMerge w:val="continue"/>
            <w:noWrap w:val="0"/>
            <w:vAlign w:val="center"/>
          </w:tcPr>
          <w:p w14:paraId="28BB146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p>
        </w:tc>
        <w:tc>
          <w:tcPr>
            <w:tcW w:w="1135" w:type="pct"/>
            <w:noWrap w:val="0"/>
            <w:vAlign w:val="top"/>
          </w:tcPr>
          <w:p w14:paraId="0331E44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柴村</w:t>
            </w:r>
          </w:p>
        </w:tc>
        <w:tc>
          <w:tcPr>
            <w:tcW w:w="477" w:type="pct"/>
            <w:noWrap w:val="0"/>
            <w:vAlign w:val="top"/>
          </w:tcPr>
          <w:p w14:paraId="7B1F79E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E</w:t>
            </w:r>
          </w:p>
        </w:tc>
        <w:tc>
          <w:tcPr>
            <w:tcW w:w="511" w:type="pct"/>
            <w:noWrap w:val="0"/>
            <w:vAlign w:val="top"/>
          </w:tcPr>
          <w:p w14:paraId="49A599B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1800</w:t>
            </w:r>
          </w:p>
        </w:tc>
        <w:tc>
          <w:tcPr>
            <w:tcW w:w="1316" w:type="pct"/>
            <w:noWrap w:val="0"/>
            <w:vAlign w:val="top"/>
          </w:tcPr>
          <w:p w14:paraId="4CD3AE6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25户，100人</w:t>
            </w:r>
          </w:p>
        </w:tc>
        <w:tc>
          <w:tcPr>
            <w:tcW w:w="813" w:type="pct"/>
            <w:vMerge w:val="continue"/>
            <w:noWrap w:val="0"/>
            <w:vAlign w:val="center"/>
          </w:tcPr>
          <w:p w14:paraId="0D5A974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14:textFill>
                  <w14:solidFill>
                    <w14:schemeClr w14:val="tx1"/>
                  </w14:solidFill>
                </w14:textFill>
              </w:rPr>
            </w:pPr>
          </w:p>
        </w:tc>
      </w:tr>
      <w:tr w14:paraId="7F0BBE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4" w:type="pct"/>
            <w:vMerge w:val="continue"/>
            <w:noWrap w:val="0"/>
            <w:vAlign w:val="center"/>
          </w:tcPr>
          <w:p w14:paraId="5FC7B30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p>
        </w:tc>
        <w:tc>
          <w:tcPr>
            <w:tcW w:w="1135" w:type="pct"/>
            <w:noWrap w:val="0"/>
            <w:vAlign w:val="center"/>
          </w:tcPr>
          <w:p w14:paraId="4E41FAE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安王</w:t>
            </w:r>
          </w:p>
        </w:tc>
        <w:tc>
          <w:tcPr>
            <w:tcW w:w="477" w:type="pct"/>
            <w:noWrap w:val="0"/>
            <w:vAlign w:val="center"/>
          </w:tcPr>
          <w:p w14:paraId="0AAE80F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ESE</w:t>
            </w:r>
          </w:p>
        </w:tc>
        <w:tc>
          <w:tcPr>
            <w:tcW w:w="511" w:type="pct"/>
            <w:noWrap w:val="0"/>
            <w:vAlign w:val="center"/>
          </w:tcPr>
          <w:p w14:paraId="274C835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4</w:t>
            </w:r>
          </w:p>
        </w:tc>
        <w:tc>
          <w:tcPr>
            <w:tcW w:w="1316" w:type="pct"/>
            <w:noWrap w:val="0"/>
            <w:vAlign w:val="center"/>
          </w:tcPr>
          <w:p w14:paraId="0512D0A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20户，80人</w:t>
            </w:r>
          </w:p>
        </w:tc>
        <w:tc>
          <w:tcPr>
            <w:tcW w:w="813" w:type="pct"/>
            <w:vMerge w:val="continue"/>
            <w:noWrap w:val="0"/>
            <w:vAlign w:val="center"/>
          </w:tcPr>
          <w:p w14:paraId="5961656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14:textFill>
                  <w14:solidFill>
                    <w14:schemeClr w14:val="tx1"/>
                  </w14:solidFill>
                </w14:textFill>
              </w:rPr>
            </w:pPr>
          </w:p>
        </w:tc>
      </w:tr>
      <w:tr w14:paraId="7AC475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4" w:type="pct"/>
            <w:vMerge w:val="continue"/>
            <w:noWrap w:val="0"/>
            <w:vAlign w:val="center"/>
          </w:tcPr>
          <w:p w14:paraId="78D52D2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p>
        </w:tc>
        <w:tc>
          <w:tcPr>
            <w:tcW w:w="1135" w:type="pct"/>
            <w:noWrap w:val="0"/>
            <w:vAlign w:val="center"/>
          </w:tcPr>
          <w:p w14:paraId="3781EB4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赵双武</w:t>
            </w:r>
          </w:p>
        </w:tc>
        <w:tc>
          <w:tcPr>
            <w:tcW w:w="477" w:type="pct"/>
            <w:noWrap w:val="0"/>
            <w:vAlign w:val="center"/>
          </w:tcPr>
          <w:p w14:paraId="5C086D5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E</w:t>
            </w:r>
          </w:p>
        </w:tc>
        <w:tc>
          <w:tcPr>
            <w:tcW w:w="511" w:type="pct"/>
            <w:noWrap w:val="0"/>
            <w:vAlign w:val="center"/>
          </w:tcPr>
          <w:p w14:paraId="210CDFA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1200</w:t>
            </w:r>
          </w:p>
        </w:tc>
        <w:tc>
          <w:tcPr>
            <w:tcW w:w="1316" w:type="pct"/>
            <w:noWrap w:val="0"/>
            <w:vAlign w:val="center"/>
          </w:tcPr>
          <w:p w14:paraId="00A3F29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60户，240人</w:t>
            </w:r>
          </w:p>
        </w:tc>
        <w:tc>
          <w:tcPr>
            <w:tcW w:w="813" w:type="pct"/>
            <w:vMerge w:val="continue"/>
            <w:noWrap w:val="0"/>
            <w:vAlign w:val="center"/>
          </w:tcPr>
          <w:p w14:paraId="17A25CA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14:textFill>
                  <w14:solidFill>
                    <w14:schemeClr w14:val="tx1"/>
                  </w14:solidFill>
                </w14:textFill>
              </w:rPr>
            </w:pPr>
          </w:p>
        </w:tc>
      </w:tr>
      <w:tr w14:paraId="2F3D4B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4" w:type="pct"/>
            <w:vMerge w:val="continue"/>
            <w:noWrap w:val="0"/>
            <w:vAlign w:val="center"/>
          </w:tcPr>
          <w:p w14:paraId="41DFCEA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p>
        </w:tc>
        <w:tc>
          <w:tcPr>
            <w:tcW w:w="1135" w:type="pct"/>
            <w:noWrap w:val="0"/>
            <w:vAlign w:val="center"/>
          </w:tcPr>
          <w:p w14:paraId="5BF874B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张家湾</w:t>
            </w:r>
          </w:p>
        </w:tc>
        <w:tc>
          <w:tcPr>
            <w:tcW w:w="477" w:type="pct"/>
            <w:noWrap w:val="0"/>
            <w:vAlign w:val="center"/>
          </w:tcPr>
          <w:p w14:paraId="46BFB26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ESE</w:t>
            </w:r>
          </w:p>
        </w:tc>
        <w:tc>
          <w:tcPr>
            <w:tcW w:w="511" w:type="pct"/>
            <w:noWrap w:val="0"/>
            <w:vAlign w:val="center"/>
          </w:tcPr>
          <w:p w14:paraId="12735AB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2000</w:t>
            </w:r>
          </w:p>
        </w:tc>
        <w:tc>
          <w:tcPr>
            <w:tcW w:w="1316" w:type="pct"/>
            <w:noWrap w:val="0"/>
            <w:vAlign w:val="center"/>
          </w:tcPr>
          <w:p w14:paraId="7EEEA6A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50户，200人</w:t>
            </w:r>
          </w:p>
        </w:tc>
        <w:tc>
          <w:tcPr>
            <w:tcW w:w="813" w:type="pct"/>
            <w:vMerge w:val="continue"/>
            <w:noWrap w:val="0"/>
            <w:vAlign w:val="center"/>
          </w:tcPr>
          <w:p w14:paraId="6AA6A95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14:textFill>
                  <w14:solidFill>
                    <w14:schemeClr w14:val="tx1"/>
                  </w14:solidFill>
                </w14:textFill>
              </w:rPr>
            </w:pPr>
          </w:p>
        </w:tc>
      </w:tr>
      <w:tr w14:paraId="45807F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4" w:type="pct"/>
            <w:vMerge w:val="continue"/>
            <w:noWrap w:val="0"/>
            <w:vAlign w:val="center"/>
          </w:tcPr>
          <w:p w14:paraId="13EC8C8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p>
        </w:tc>
        <w:tc>
          <w:tcPr>
            <w:tcW w:w="1135" w:type="pct"/>
            <w:noWrap w:val="0"/>
            <w:vAlign w:val="center"/>
          </w:tcPr>
          <w:p w14:paraId="01CCDB5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老墩</w:t>
            </w:r>
          </w:p>
        </w:tc>
        <w:tc>
          <w:tcPr>
            <w:tcW w:w="477" w:type="pct"/>
            <w:noWrap w:val="0"/>
            <w:vAlign w:val="center"/>
          </w:tcPr>
          <w:p w14:paraId="03E0B76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ESE</w:t>
            </w:r>
          </w:p>
        </w:tc>
        <w:tc>
          <w:tcPr>
            <w:tcW w:w="511" w:type="pct"/>
            <w:noWrap w:val="0"/>
            <w:vAlign w:val="center"/>
          </w:tcPr>
          <w:p w14:paraId="4C24B76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2250</w:t>
            </w:r>
          </w:p>
        </w:tc>
        <w:tc>
          <w:tcPr>
            <w:tcW w:w="1316" w:type="pct"/>
            <w:noWrap w:val="0"/>
            <w:vAlign w:val="center"/>
          </w:tcPr>
          <w:p w14:paraId="5092CA1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40户，160人</w:t>
            </w:r>
          </w:p>
        </w:tc>
        <w:tc>
          <w:tcPr>
            <w:tcW w:w="813" w:type="pct"/>
            <w:vMerge w:val="continue"/>
            <w:noWrap w:val="0"/>
            <w:vAlign w:val="center"/>
          </w:tcPr>
          <w:p w14:paraId="212C407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14:textFill>
                  <w14:solidFill>
                    <w14:schemeClr w14:val="tx1"/>
                  </w14:solidFill>
                </w14:textFill>
              </w:rPr>
            </w:pPr>
          </w:p>
        </w:tc>
      </w:tr>
      <w:tr w14:paraId="69A584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4" w:type="pct"/>
            <w:vMerge w:val="continue"/>
            <w:noWrap w:val="0"/>
            <w:vAlign w:val="center"/>
          </w:tcPr>
          <w:p w14:paraId="045D027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p>
        </w:tc>
        <w:tc>
          <w:tcPr>
            <w:tcW w:w="1135" w:type="pct"/>
            <w:noWrap w:val="0"/>
            <w:vAlign w:val="center"/>
          </w:tcPr>
          <w:p w14:paraId="6072588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小濮</w:t>
            </w:r>
          </w:p>
        </w:tc>
        <w:tc>
          <w:tcPr>
            <w:tcW w:w="477" w:type="pct"/>
            <w:noWrap w:val="0"/>
            <w:vAlign w:val="center"/>
          </w:tcPr>
          <w:p w14:paraId="1B9BA9F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SE</w:t>
            </w:r>
          </w:p>
        </w:tc>
        <w:tc>
          <w:tcPr>
            <w:tcW w:w="511" w:type="pct"/>
            <w:noWrap w:val="0"/>
            <w:vAlign w:val="center"/>
          </w:tcPr>
          <w:p w14:paraId="2E6590F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600</w:t>
            </w:r>
          </w:p>
        </w:tc>
        <w:tc>
          <w:tcPr>
            <w:tcW w:w="1316" w:type="pct"/>
            <w:noWrap w:val="0"/>
            <w:vAlign w:val="center"/>
          </w:tcPr>
          <w:p w14:paraId="7894AA6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45户，180人</w:t>
            </w:r>
          </w:p>
        </w:tc>
        <w:tc>
          <w:tcPr>
            <w:tcW w:w="813" w:type="pct"/>
            <w:vMerge w:val="continue"/>
            <w:noWrap w:val="0"/>
            <w:vAlign w:val="center"/>
          </w:tcPr>
          <w:p w14:paraId="7F7E508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14:textFill>
                  <w14:solidFill>
                    <w14:schemeClr w14:val="tx1"/>
                  </w14:solidFill>
                </w14:textFill>
              </w:rPr>
            </w:pPr>
          </w:p>
        </w:tc>
      </w:tr>
      <w:tr w14:paraId="62AD61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4" w:type="pct"/>
            <w:vMerge w:val="continue"/>
            <w:noWrap w:val="0"/>
            <w:vAlign w:val="center"/>
          </w:tcPr>
          <w:p w14:paraId="1C6D586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p>
        </w:tc>
        <w:tc>
          <w:tcPr>
            <w:tcW w:w="1135" w:type="pct"/>
            <w:noWrap w:val="0"/>
            <w:vAlign w:val="top"/>
          </w:tcPr>
          <w:p w14:paraId="29627BE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白果</w:t>
            </w:r>
          </w:p>
        </w:tc>
        <w:tc>
          <w:tcPr>
            <w:tcW w:w="477" w:type="pct"/>
            <w:noWrap w:val="0"/>
            <w:vAlign w:val="top"/>
          </w:tcPr>
          <w:p w14:paraId="636F28A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SE</w:t>
            </w:r>
          </w:p>
        </w:tc>
        <w:tc>
          <w:tcPr>
            <w:tcW w:w="511" w:type="pct"/>
            <w:noWrap w:val="0"/>
            <w:vAlign w:val="top"/>
          </w:tcPr>
          <w:p w14:paraId="1AE22A9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1300</w:t>
            </w:r>
          </w:p>
        </w:tc>
        <w:tc>
          <w:tcPr>
            <w:tcW w:w="1316" w:type="pct"/>
            <w:noWrap w:val="0"/>
            <w:vAlign w:val="top"/>
          </w:tcPr>
          <w:p w14:paraId="671E2C4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30户，120人</w:t>
            </w:r>
          </w:p>
        </w:tc>
        <w:tc>
          <w:tcPr>
            <w:tcW w:w="813" w:type="pct"/>
            <w:vMerge w:val="continue"/>
            <w:noWrap w:val="0"/>
            <w:vAlign w:val="center"/>
          </w:tcPr>
          <w:p w14:paraId="7493172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14:textFill>
                  <w14:solidFill>
                    <w14:schemeClr w14:val="tx1"/>
                  </w14:solidFill>
                </w14:textFill>
              </w:rPr>
            </w:pPr>
          </w:p>
        </w:tc>
      </w:tr>
      <w:tr w14:paraId="68C37A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4" w:type="pct"/>
            <w:vMerge w:val="continue"/>
            <w:noWrap w:val="0"/>
            <w:vAlign w:val="center"/>
          </w:tcPr>
          <w:p w14:paraId="2D15C48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p>
        </w:tc>
        <w:tc>
          <w:tcPr>
            <w:tcW w:w="1135" w:type="pct"/>
            <w:noWrap w:val="0"/>
            <w:vAlign w:val="center"/>
          </w:tcPr>
          <w:p w14:paraId="4032A2B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小何</w:t>
            </w:r>
          </w:p>
        </w:tc>
        <w:tc>
          <w:tcPr>
            <w:tcW w:w="477" w:type="pct"/>
            <w:noWrap w:val="0"/>
            <w:vAlign w:val="center"/>
          </w:tcPr>
          <w:p w14:paraId="3F336D2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SE</w:t>
            </w:r>
          </w:p>
        </w:tc>
        <w:tc>
          <w:tcPr>
            <w:tcW w:w="511" w:type="pct"/>
            <w:noWrap w:val="0"/>
            <w:vAlign w:val="center"/>
          </w:tcPr>
          <w:p w14:paraId="782EBC0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1100</w:t>
            </w:r>
          </w:p>
        </w:tc>
        <w:tc>
          <w:tcPr>
            <w:tcW w:w="1316" w:type="pct"/>
            <w:noWrap w:val="0"/>
            <w:vAlign w:val="center"/>
          </w:tcPr>
          <w:p w14:paraId="3FA6113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35户，140人</w:t>
            </w:r>
          </w:p>
        </w:tc>
        <w:tc>
          <w:tcPr>
            <w:tcW w:w="813" w:type="pct"/>
            <w:vMerge w:val="continue"/>
            <w:noWrap w:val="0"/>
            <w:vAlign w:val="center"/>
          </w:tcPr>
          <w:p w14:paraId="69F5C95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14:textFill>
                  <w14:solidFill>
                    <w14:schemeClr w14:val="tx1"/>
                  </w14:solidFill>
                </w14:textFill>
              </w:rPr>
            </w:pPr>
          </w:p>
        </w:tc>
      </w:tr>
      <w:tr w14:paraId="3EB6E0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4" w:type="pct"/>
            <w:vMerge w:val="continue"/>
            <w:noWrap w:val="0"/>
            <w:vAlign w:val="center"/>
          </w:tcPr>
          <w:p w14:paraId="2F47F99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p>
        </w:tc>
        <w:tc>
          <w:tcPr>
            <w:tcW w:w="1135" w:type="pct"/>
            <w:noWrap w:val="0"/>
            <w:vAlign w:val="center"/>
          </w:tcPr>
          <w:p w14:paraId="7C8418A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白果村</w:t>
            </w:r>
          </w:p>
        </w:tc>
        <w:tc>
          <w:tcPr>
            <w:tcW w:w="477" w:type="pct"/>
            <w:noWrap w:val="0"/>
            <w:vAlign w:val="center"/>
          </w:tcPr>
          <w:p w14:paraId="0AE74C5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S</w:t>
            </w:r>
          </w:p>
        </w:tc>
        <w:tc>
          <w:tcPr>
            <w:tcW w:w="511" w:type="pct"/>
            <w:noWrap w:val="0"/>
            <w:vAlign w:val="center"/>
          </w:tcPr>
          <w:p w14:paraId="1C552F5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550</w:t>
            </w:r>
          </w:p>
        </w:tc>
        <w:tc>
          <w:tcPr>
            <w:tcW w:w="1316" w:type="pct"/>
            <w:noWrap w:val="0"/>
            <w:vAlign w:val="center"/>
          </w:tcPr>
          <w:p w14:paraId="677506F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40户，160人</w:t>
            </w:r>
          </w:p>
        </w:tc>
        <w:tc>
          <w:tcPr>
            <w:tcW w:w="813" w:type="pct"/>
            <w:vMerge w:val="continue"/>
            <w:noWrap w:val="0"/>
            <w:vAlign w:val="center"/>
          </w:tcPr>
          <w:p w14:paraId="2F0FD97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14:textFill>
                  <w14:solidFill>
                    <w14:schemeClr w14:val="tx1"/>
                  </w14:solidFill>
                </w14:textFill>
              </w:rPr>
            </w:pPr>
          </w:p>
        </w:tc>
      </w:tr>
      <w:tr w14:paraId="5BD37B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4" w:type="pct"/>
            <w:vMerge w:val="continue"/>
            <w:noWrap w:val="0"/>
            <w:vAlign w:val="center"/>
          </w:tcPr>
          <w:p w14:paraId="5CAFF1D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p>
        </w:tc>
        <w:tc>
          <w:tcPr>
            <w:tcW w:w="1135" w:type="pct"/>
            <w:noWrap w:val="0"/>
            <w:vAlign w:val="center"/>
          </w:tcPr>
          <w:p w14:paraId="51A461E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宋庄</w:t>
            </w:r>
          </w:p>
        </w:tc>
        <w:tc>
          <w:tcPr>
            <w:tcW w:w="477" w:type="pct"/>
            <w:noWrap w:val="0"/>
            <w:vAlign w:val="center"/>
          </w:tcPr>
          <w:p w14:paraId="3202601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S</w:t>
            </w:r>
          </w:p>
        </w:tc>
        <w:tc>
          <w:tcPr>
            <w:tcW w:w="511" w:type="pct"/>
            <w:noWrap w:val="0"/>
            <w:vAlign w:val="center"/>
          </w:tcPr>
          <w:p w14:paraId="1BEDAAC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750</w:t>
            </w:r>
          </w:p>
        </w:tc>
        <w:tc>
          <w:tcPr>
            <w:tcW w:w="1316" w:type="pct"/>
            <w:noWrap w:val="0"/>
            <w:vAlign w:val="center"/>
          </w:tcPr>
          <w:p w14:paraId="3A36682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15户，60人</w:t>
            </w:r>
          </w:p>
        </w:tc>
        <w:tc>
          <w:tcPr>
            <w:tcW w:w="813" w:type="pct"/>
            <w:vMerge w:val="continue"/>
            <w:noWrap w:val="0"/>
            <w:vAlign w:val="center"/>
          </w:tcPr>
          <w:p w14:paraId="5B6A1F0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14:textFill>
                  <w14:solidFill>
                    <w14:schemeClr w14:val="tx1"/>
                  </w14:solidFill>
                </w14:textFill>
              </w:rPr>
            </w:pPr>
          </w:p>
        </w:tc>
      </w:tr>
      <w:tr w14:paraId="7130D9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4" w:type="pct"/>
            <w:vMerge w:val="continue"/>
            <w:noWrap w:val="0"/>
            <w:vAlign w:val="center"/>
          </w:tcPr>
          <w:p w14:paraId="0EE1EF7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p>
        </w:tc>
        <w:tc>
          <w:tcPr>
            <w:tcW w:w="1135" w:type="pct"/>
            <w:noWrap w:val="0"/>
            <w:vAlign w:val="center"/>
          </w:tcPr>
          <w:p w14:paraId="7CFE86A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月芽塘</w:t>
            </w:r>
          </w:p>
        </w:tc>
        <w:tc>
          <w:tcPr>
            <w:tcW w:w="477" w:type="pct"/>
            <w:noWrap w:val="0"/>
            <w:vAlign w:val="center"/>
          </w:tcPr>
          <w:p w14:paraId="006F550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S</w:t>
            </w:r>
          </w:p>
        </w:tc>
        <w:tc>
          <w:tcPr>
            <w:tcW w:w="511" w:type="pct"/>
            <w:noWrap w:val="0"/>
            <w:vAlign w:val="center"/>
          </w:tcPr>
          <w:p w14:paraId="7C2AAC7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2000</w:t>
            </w:r>
          </w:p>
        </w:tc>
        <w:tc>
          <w:tcPr>
            <w:tcW w:w="1316" w:type="pct"/>
            <w:noWrap w:val="0"/>
            <w:vAlign w:val="center"/>
          </w:tcPr>
          <w:p w14:paraId="5D389BD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55户，220人</w:t>
            </w:r>
          </w:p>
        </w:tc>
        <w:tc>
          <w:tcPr>
            <w:tcW w:w="813" w:type="pct"/>
            <w:vMerge w:val="continue"/>
            <w:noWrap w:val="0"/>
            <w:vAlign w:val="center"/>
          </w:tcPr>
          <w:p w14:paraId="0217EEA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14:textFill>
                  <w14:solidFill>
                    <w14:schemeClr w14:val="tx1"/>
                  </w14:solidFill>
                </w14:textFill>
              </w:rPr>
            </w:pPr>
          </w:p>
        </w:tc>
      </w:tr>
      <w:tr w14:paraId="181B90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4" w:type="pct"/>
            <w:vMerge w:val="continue"/>
            <w:noWrap w:val="0"/>
            <w:vAlign w:val="center"/>
          </w:tcPr>
          <w:p w14:paraId="2881630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p>
        </w:tc>
        <w:tc>
          <w:tcPr>
            <w:tcW w:w="1135" w:type="pct"/>
            <w:noWrap w:val="0"/>
            <w:vAlign w:val="center"/>
          </w:tcPr>
          <w:p w14:paraId="174F241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城北村</w:t>
            </w:r>
          </w:p>
        </w:tc>
        <w:tc>
          <w:tcPr>
            <w:tcW w:w="477" w:type="pct"/>
            <w:noWrap w:val="0"/>
            <w:vAlign w:val="center"/>
          </w:tcPr>
          <w:p w14:paraId="62D60A8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S</w:t>
            </w:r>
          </w:p>
        </w:tc>
        <w:tc>
          <w:tcPr>
            <w:tcW w:w="511" w:type="pct"/>
            <w:noWrap w:val="0"/>
            <w:vAlign w:val="center"/>
          </w:tcPr>
          <w:p w14:paraId="31D755D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2350</w:t>
            </w:r>
          </w:p>
        </w:tc>
        <w:tc>
          <w:tcPr>
            <w:tcW w:w="1316" w:type="pct"/>
            <w:noWrap w:val="0"/>
            <w:vAlign w:val="center"/>
          </w:tcPr>
          <w:p w14:paraId="568E9D5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40户，160人</w:t>
            </w:r>
          </w:p>
        </w:tc>
        <w:tc>
          <w:tcPr>
            <w:tcW w:w="813" w:type="pct"/>
            <w:vMerge w:val="continue"/>
            <w:noWrap w:val="0"/>
            <w:vAlign w:val="center"/>
          </w:tcPr>
          <w:p w14:paraId="230D2A8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14:textFill>
                  <w14:solidFill>
                    <w14:schemeClr w14:val="tx1"/>
                  </w14:solidFill>
                </w14:textFill>
              </w:rPr>
            </w:pPr>
          </w:p>
        </w:tc>
      </w:tr>
      <w:tr w14:paraId="2B3BD2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4" w:type="pct"/>
            <w:vMerge w:val="continue"/>
            <w:noWrap w:val="0"/>
            <w:vAlign w:val="center"/>
          </w:tcPr>
          <w:p w14:paraId="22FA8AD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p>
        </w:tc>
        <w:tc>
          <w:tcPr>
            <w:tcW w:w="1135" w:type="pct"/>
            <w:noWrap w:val="0"/>
            <w:vAlign w:val="center"/>
          </w:tcPr>
          <w:p w14:paraId="3790C77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历阳镇公路学</w:t>
            </w:r>
          </w:p>
        </w:tc>
        <w:tc>
          <w:tcPr>
            <w:tcW w:w="477" w:type="pct"/>
            <w:noWrap w:val="0"/>
            <w:vAlign w:val="top"/>
          </w:tcPr>
          <w:p w14:paraId="228959E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S</w:t>
            </w:r>
          </w:p>
        </w:tc>
        <w:tc>
          <w:tcPr>
            <w:tcW w:w="511" w:type="pct"/>
            <w:noWrap w:val="0"/>
            <w:vAlign w:val="top"/>
          </w:tcPr>
          <w:p w14:paraId="5C8F041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2500</w:t>
            </w:r>
          </w:p>
        </w:tc>
        <w:tc>
          <w:tcPr>
            <w:tcW w:w="1316" w:type="pct"/>
            <w:noWrap w:val="0"/>
            <w:vAlign w:val="center"/>
          </w:tcPr>
          <w:p w14:paraId="059E2DD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约200名师生</w:t>
            </w:r>
          </w:p>
        </w:tc>
        <w:tc>
          <w:tcPr>
            <w:tcW w:w="813" w:type="pct"/>
            <w:vMerge w:val="continue"/>
            <w:noWrap w:val="0"/>
            <w:vAlign w:val="center"/>
          </w:tcPr>
          <w:p w14:paraId="5C09E6C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14:textFill>
                  <w14:solidFill>
                    <w14:schemeClr w14:val="tx1"/>
                  </w14:solidFill>
                </w14:textFill>
              </w:rPr>
            </w:pPr>
          </w:p>
        </w:tc>
      </w:tr>
      <w:tr w14:paraId="134730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4" w:type="pct"/>
            <w:vMerge w:val="continue"/>
            <w:noWrap w:val="0"/>
            <w:vAlign w:val="center"/>
          </w:tcPr>
          <w:p w14:paraId="1FCFF65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p>
        </w:tc>
        <w:tc>
          <w:tcPr>
            <w:tcW w:w="1135" w:type="pct"/>
            <w:noWrap w:val="0"/>
            <w:vAlign w:val="center"/>
          </w:tcPr>
          <w:p w14:paraId="306B68A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城北安置小区</w:t>
            </w:r>
          </w:p>
        </w:tc>
        <w:tc>
          <w:tcPr>
            <w:tcW w:w="477" w:type="pct"/>
            <w:noWrap w:val="0"/>
            <w:vAlign w:val="top"/>
          </w:tcPr>
          <w:p w14:paraId="7A97D99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SW</w:t>
            </w:r>
          </w:p>
        </w:tc>
        <w:tc>
          <w:tcPr>
            <w:tcW w:w="511" w:type="pct"/>
            <w:noWrap w:val="0"/>
            <w:vAlign w:val="top"/>
          </w:tcPr>
          <w:p w14:paraId="2BC0821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2550</w:t>
            </w:r>
          </w:p>
        </w:tc>
        <w:tc>
          <w:tcPr>
            <w:tcW w:w="1316" w:type="pct"/>
            <w:noWrap w:val="0"/>
            <w:vAlign w:val="center"/>
          </w:tcPr>
          <w:p w14:paraId="7DF06C1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400户，800人</w:t>
            </w:r>
          </w:p>
        </w:tc>
        <w:tc>
          <w:tcPr>
            <w:tcW w:w="813" w:type="pct"/>
            <w:vMerge w:val="continue"/>
            <w:noWrap w:val="0"/>
            <w:vAlign w:val="center"/>
          </w:tcPr>
          <w:p w14:paraId="6FAB34E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14:textFill>
                  <w14:solidFill>
                    <w14:schemeClr w14:val="tx1"/>
                  </w14:solidFill>
                </w14:textFill>
              </w:rPr>
            </w:pPr>
          </w:p>
        </w:tc>
      </w:tr>
      <w:tr w14:paraId="5493DE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4" w:type="pct"/>
            <w:vMerge w:val="continue"/>
            <w:noWrap w:val="0"/>
            <w:vAlign w:val="center"/>
          </w:tcPr>
          <w:p w14:paraId="52114D4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p>
        </w:tc>
        <w:tc>
          <w:tcPr>
            <w:tcW w:w="1135" w:type="pct"/>
            <w:noWrap w:val="0"/>
            <w:vAlign w:val="center"/>
          </w:tcPr>
          <w:p w14:paraId="1E1EAD4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明天城市广场</w:t>
            </w:r>
          </w:p>
        </w:tc>
        <w:tc>
          <w:tcPr>
            <w:tcW w:w="477" w:type="pct"/>
            <w:noWrap w:val="0"/>
            <w:vAlign w:val="center"/>
          </w:tcPr>
          <w:p w14:paraId="3C9F728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SW</w:t>
            </w:r>
          </w:p>
        </w:tc>
        <w:tc>
          <w:tcPr>
            <w:tcW w:w="511" w:type="pct"/>
            <w:noWrap w:val="0"/>
            <w:vAlign w:val="top"/>
          </w:tcPr>
          <w:p w14:paraId="05430A6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2600</w:t>
            </w:r>
          </w:p>
        </w:tc>
        <w:tc>
          <w:tcPr>
            <w:tcW w:w="1316" w:type="pct"/>
            <w:noWrap w:val="0"/>
            <w:vAlign w:val="center"/>
          </w:tcPr>
          <w:p w14:paraId="11C718B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400户，1200人</w:t>
            </w:r>
          </w:p>
        </w:tc>
        <w:tc>
          <w:tcPr>
            <w:tcW w:w="813" w:type="pct"/>
            <w:vMerge w:val="continue"/>
            <w:noWrap w:val="0"/>
            <w:vAlign w:val="center"/>
          </w:tcPr>
          <w:p w14:paraId="5DCF48C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14:textFill>
                  <w14:solidFill>
                    <w14:schemeClr w14:val="tx1"/>
                  </w14:solidFill>
                </w14:textFill>
              </w:rPr>
            </w:pPr>
          </w:p>
        </w:tc>
      </w:tr>
      <w:tr w14:paraId="56A3C6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4" w:type="pct"/>
            <w:vMerge w:val="continue"/>
            <w:noWrap w:val="0"/>
            <w:vAlign w:val="center"/>
          </w:tcPr>
          <w:p w14:paraId="431CC04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p>
        </w:tc>
        <w:tc>
          <w:tcPr>
            <w:tcW w:w="1135" w:type="pct"/>
            <w:noWrap w:val="0"/>
            <w:vAlign w:val="center"/>
          </w:tcPr>
          <w:p w14:paraId="42E5089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经开区管委会</w:t>
            </w:r>
          </w:p>
        </w:tc>
        <w:tc>
          <w:tcPr>
            <w:tcW w:w="477" w:type="pct"/>
            <w:noWrap w:val="0"/>
            <w:vAlign w:val="center"/>
          </w:tcPr>
          <w:p w14:paraId="1C7766B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SW</w:t>
            </w:r>
          </w:p>
        </w:tc>
        <w:tc>
          <w:tcPr>
            <w:tcW w:w="511" w:type="pct"/>
            <w:noWrap w:val="0"/>
            <w:vAlign w:val="top"/>
          </w:tcPr>
          <w:p w14:paraId="77CDF2D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2800</w:t>
            </w:r>
          </w:p>
        </w:tc>
        <w:tc>
          <w:tcPr>
            <w:tcW w:w="1316" w:type="pct"/>
            <w:noWrap w:val="0"/>
            <w:vAlign w:val="center"/>
          </w:tcPr>
          <w:p w14:paraId="50542BD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w:t>
            </w:r>
          </w:p>
        </w:tc>
        <w:tc>
          <w:tcPr>
            <w:tcW w:w="813" w:type="pct"/>
            <w:vMerge w:val="continue"/>
            <w:noWrap w:val="0"/>
            <w:vAlign w:val="center"/>
          </w:tcPr>
          <w:p w14:paraId="1672F03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14:textFill>
                  <w14:solidFill>
                    <w14:schemeClr w14:val="tx1"/>
                  </w14:solidFill>
                </w14:textFill>
              </w:rPr>
            </w:pPr>
          </w:p>
        </w:tc>
      </w:tr>
      <w:tr w14:paraId="4E1FF6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4" w:type="pct"/>
            <w:vMerge w:val="continue"/>
            <w:noWrap w:val="0"/>
            <w:vAlign w:val="center"/>
          </w:tcPr>
          <w:p w14:paraId="7EDAFF6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p>
        </w:tc>
        <w:tc>
          <w:tcPr>
            <w:tcW w:w="1135" w:type="pct"/>
            <w:noWrap w:val="0"/>
            <w:vAlign w:val="center"/>
          </w:tcPr>
          <w:p w14:paraId="0DAF294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明发和成首府</w:t>
            </w:r>
          </w:p>
        </w:tc>
        <w:tc>
          <w:tcPr>
            <w:tcW w:w="477" w:type="pct"/>
            <w:noWrap w:val="0"/>
            <w:vAlign w:val="center"/>
          </w:tcPr>
          <w:p w14:paraId="5C56765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SW</w:t>
            </w:r>
          </w:p>
        </w:tc>
        <w:tc>
          <w:tcPr>
            <w:tcW w:w="511" w:type="pct"/>
            <w:noWrap w:val="0"/>
            <w:vAlign w:val="top"/>
          </w:tcPr>
          <w:p w14:paraId="4703802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2950</w:t>
            </w:r>
          </w:p>
        </w:tc>
        <w:tc>
          <w:tcPr>
            <w:tcW w:w="1316" w:type="pct"/>
            <w:noWrap w:val="0"/>
            <w:vAlign w:val="center"/>
          </w:tcPr>
          <w:p w14:paraId="55A07E4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400户，1200人</w:t>
            </w:r>
          </w:p>
        </w:tc>
        <w:tc>
          <w:tcPr>
            <w:tcW w:w="813" w:type="pct"/>
            <w:vMerge w:val="continue"/>
            <w:noWrap w:val="0"/>
            <w:vAlign w:val="center"/>
          </w:tcPr>
          <w:p w14:paraId="6952161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14:textFill>
                  <w14:solidFill>
                    <w14:schemeClr w14:val="tx1"/>
                  </w14:solidFill>
                </w14:textFill>
              </w:rPr>
            </w:pPr>
          </w:p>
        </w:tc>
      </w:tr>
      <w:tr w14:paraId="04D73A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4" w:type="pct"/>
            <w:vMerge w:val="continue"/>
            <w:noWrap w:val="0"/>
            <w:vAlign w:val="center"/>
          </w:tcPr>
          <w:p w14:paraId="7F89FCE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p>
        </w:tc>
        <w:tc>
          <w:tcPr>
            <w:tcW w:w="1135" w:type="pct"/>
            <w:noWrap w:val="0"/>
            <w:vAlign w:val="top"/>
          </w:tcPr>
          <w:p w14:paraId="0C193B2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开发区人才公寓</w:t>
            </w:r>
          </w:p>
        </w:tc>
        <w:tc>
          <w:tcPr>
            <w:tcW w:w="477" w:type="pct"/>
            <w:noWrap w:val="0"/>
            <w:vAlign w:val="top"/>
          </w:tcPr>
          <w:p w14:paraId="135F6C5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SW</w:t>
            </w:r>
          </w:p>
        </w:tc>
        <w:tc>
          <w:tcPr>
            <w:tcW w:w="511" w:type="pct"/>
            <w:noWrap w:val="0"/>
            <w:vAlign w:val="top"/>
          </w:tcPr>
          <w:p w14:paraId="1CC4AB2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2700</w:t>
            </w:r>
          </w:p>
        </w:tc>
        <w:tc>
          <w:tcPr>
            <w:tcW w:w="1316" w:type="pct"/>
            <w:noWrap w:val="0"/>
            <w:vAlign w:val="top"/>
          </w:tcPr>
          <w:p w14:paraId="5A93048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400户，800人</w:t>
            </w:r>
          </w:p>
        </w:tc>
        <w:tc>
          <w:tcPr>
            <w:tcW w:w="813" w:type="pct"/>
            <w:vMerge w:val="continue"/>
            <w:noWrap w:val="0"/>
            <w:vAlign w:val="center"/>
          </w:tcPr>
          <w:p w14:paraId="2186CD9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14:textFill>
                  <w14:solidFill>
                    <w14:schemeClr w14:val="tx1"/>
                  </w14:solidFill>
                </w14:textFill>
              </w:rPr>
            </w:pPr>
          </w:p>
        </w:tc>
      </w:tr>
      <w:tr w14:paraId="14CB6C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4" w:type="pct"/>
            <w:vMerge w:val="continue"/>
            <w:noWrap w:val="0"/>
            <w:vAlign w:val="center"/>
          </w:tcPr>
          <w:p w14:paraId="13E59A3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p>
        </w:tc>
        <w:tc>
          <w:tcPr>
            <w:tcW w:w="1135" w:type="pct"/>
            <w:noWrap w:val="0"/>
            <w:vAlign w:val="center"/>
          </w:tcPr>
          <w:p w14:paraId="18298D7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云谷国际城</w:t>
            </w:r>
          </w:p>
        </w:tc>
        <w:tc>
          <w:tcPr>
            <w:tcW w:w="477" w:type="pct"/>
            <w:noWrap w:val="0"/>
            <w:vAlign w:val="center"/>
          </w:tcPr>
          <w:p w14:paraId="14A2FCD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SW</w:t>
            </w:r>
          </w:p>
        </w:tc>
        <w:tc>
          <w:tcPr>
            <w:tcW w:w="511" w:type="pct"/>
            <w:noWrap w:val="0"/>
            <w:vAlign w:val="top"/>
          </w:tcPr>
          <w:p w14:paraId="58B878D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3200</w:t>
            </w:r>
          </w:p>
        </w:tc>
        <w:tc>
          <w:tcPr>
            <w:tcW w:w="1316" w:type="pct"/>
            <w:noWrap w:val="0"/>
            <w:vAlign w:val="center"/>
          </w:tcPr>
          <w:p w14:paraId="359A85F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400户，1200人</w:t>
            </w:r>
          </w:p>
        </w:tc>
        <w:tc>
          <w:tcPr>
            <w:tcW w:w="813" w:type="pct"/>
            <w:vMerge w:val="continue"/>
            <w:noWrap w:val="0"/>
            <w:vAlign w:val="center"/>
          </w:tcPr>
          <w:p w14:paraId="1426597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14:textFill>
                  <w14:solidFill>
                    <w14:schemeClr w14:val="tx1"/>
                  </w14:solidFill>
                </w14:textFill>
              </w:rPr>
            </w:pPr>
          </w:p>
        </w:tc>
      </w:tr>
      <w:tr w14:paraId="70FE80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4" w:type="pct"/>
            <w:vMerge w:val="continue"/>
            <w:noWrap w:val="0"/>
            <w:vAlign w:val="center"/>
          </w:tcPr>
          <w:p w14:paraId="436C0A0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p>
        </w:tc>
        <w:tc>
          <w:tcPr>
            <w:tcW w:w="1135" w:type="pct"/>
            <w:noWrap w:val="0"/>
            <w:vAlign w:val="center"/>
          </w:tcPr>
          <w:p w14:paraId="4F83E2F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大戴村</w:t>
            </w:r>
          </w:p>
        </w:tc>
        <w:tc>
          <w:tcPr>
            <w:tcW w:w="477" w:type="pct"/>
            <w:noWrap w:val="0"/>
            <w:vAlign w:val="top"/>
          </w:tcPr>
          <w:p w14:paraId="2A9713F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WSW</w:t>
            </w:r>
          </w:p>
        </w:tc>
        <w:tc>
          <w:tcPr>
            <w:tcW w:w="511" w:type="pct"/>
            <w:noWrap w:val="0"/>
            <w:vAlign w:val="top"/>
          </w:tcPr>
          <w:p w14:paraId="4F4C4F1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2250</w:t>
            </w:r>
          </w:p>
        </w:tc>
        <w:tc>
          <w:tcPr>
            <w:tcW w:w="1316" w:type="pct"/>
            <w:noWrap w:val="0"/>
            <w:vAlign w:val="center"/>
          </w:tcPr>
          <w:p w14:paraId="3625E20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30户，120人</w:t>
            </w:r>
          </w:p>
        </w:tc>
        <w:tc>
          <w:tcPr>
            <w:tcW w:w="813" w:type="pct"/>
            <w:vMerge w:val="continue"/>
            <w:noWrap w:val="0"/>
            <w:vAlign w:val="center"/>
          </w:tcPr>
          <w:p w14:paraId="3FF043B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14:textFill>
                  <w14:solidFill>
                    <w14:schemeClr w14:val="tx1"/>
                  </w14:solidFill>
                </w14:textFill>
              </w:rPr>
            </w:pPr>
          </w:p>
        </w:tc>
      </w:tr>
      <w:tr w14:paraId="1FFD7F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4" w:type="pct"/>
            <w:vMerge w:val="continue"/>
            <w:noWrap w:val="0"/>
            <w:vAlign w:val="center"/>
          </w:tcPr>
          <w:p w14:paraId="5DC87BC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p>
        </w:tc>
        <w:tc>
          <w:tcPr>
            <w:tcW w:w="1135" w:type="pct"/>
            <w:noWrap w:val="0"/>
            <w:vAlign w:val="top"/>
          </w:tcPr>
          <w:p w14:paraId="297E9AD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姜庄</w:t>
            </w:r>
          </w:p>
        </w:tc>
        <w:tc>
          <w:tcPr>
            <w:tcW w:w="477" w:type="pct"/>
            <w:noWrap w:val="0"/>
            <w:vAlign w:val="top"/>
          </w:tcPr>
          <w:p w14:paraId="35714E2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W</w:t>
            </w:r>
          </w:p>
        </w:tc>
        <w:tc>
          <w:tcPr>
            <w:tcW w:w="511" w:type="pct"/>
            <w:noWrap w:val="0"/>
            <w:vAlign w:val="top"/>
          </w:tcPr>
          <w:p w14:paraId="6DAD426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89</w:t>
            </w:r>
          </w:p>
        </w:tc>
        <w:tc>
          <w:tcPr>
            <w:tcW w:w="1316" w:type="pct"/>
            <w:noWrap w:val="0"/>
            <w:vAlign w:val="top"/>
          </w:tcPr>
          <w:p w14:paraId="44D1DD3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20户，80人</w:t>
            </w:r>
          </w:p>
        </w:tc>
        <w:tc>
          <w:tcPr>
            <w:tcW w:w="813" w:type="pct"/>
            <w:vMerge w:val="continue"/>
            <w:noWrap w:val="0"/>
            <w:vAlign w:val="center"/>
          </w:tcPr>
          <w:p w14:paraId="498A421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14:textFill>
                  <w14:solidFill>
                    <w14:schemeClr w14:val="tx1"/>
                  </w14:solidFill>
                </w14:textFill>
              </w:rPr>
            </w:pPr>
          </w:p>
        </w:tc>
      </w:tr>
      <w:tr w14:paraId="661F4E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4" w:type="pct"/>
            <w:vMerge w:val="continue"/>
            <w:noWrap w:val="0"/>
            <w:vAlign w:val="center"/>
          </w:tcPr>
          <w:p w14:paraId="3DB3537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p>
        </w:tc>
        <w:tc>
          <w:tcPr>
            <w:tcW w:w="1135" w:type="pct"/>
            <w:noWrap w:val="0"/>
            <w:vAlign w:val="center"/>
          </w:tcPr>
          <w:p w14:paraId="64E928D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金濮村</w:t>
            </w:r>
          </w:p>
        </w:tc>
        <w:tc>
          <w:tcPr>
            <w:tcW w:w="477" w:type="pct"/>
            <w:noWrap w:val="0"/>
            <w:vAlign w:val="center"/>
          </w:tcPr>
          <w:p w14:paraId="5403118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WNW</w:t>
            </w:r>
          </w:p>
        </w:tc>
        <w:tc>
          <w:tcPr>
            <w:tcW w:w="511" w:type="pct"/>
            <w:noWrap w:val="0"/>
            <w:vAlign w:val="center"/>
          </w:tcPr>
          <w:p w14:paraId="60A8B46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1450</w:t>
            </w:r>
          </w:p>
        </w:tc>
        <w:tc>
          <w:tcPr>
            <w:tcW w:w="1316" w:type="pct"/>
            <w:noWrap w:val="0"/>
            <w:vAlign w:val="center"/>
          </w:tcPr>
          <w:p w14:paraId="6ED3692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30户，120人</w:t>
            </w:r>
          </w:p>
        </w:tc>
        <w:tc>
          <w:tcPr>
            <w:tcW w:w="813" w:type="pct"/>
            <w:vMerge w:val="continue"/>
            <w:noWrap w:val="0"/>
            <w:vAlign w:val="center"/>
          </w:tcPr>
          <w:p w14:paraId="274B59D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14:textFill>
                  <w14:solidFill>
                    <w14:schemeClr w14:val="tx1"/>
                  </w14:solidFill>
                </w14:textFill>
              </w:rPr>
            </w:pPr>
          </w:p>
        </w:tc>
      </w:tr>
      <w:tr w14:paraId="1A0B05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4" w:type="pct"/>
            <w:vMerge w:val="continue"/>
            <w:noWrap w:val="0"/>
            <w:vAlign w:val="center"/>
          </w:tcPr>
          <w:p w14:paraId="7958E1A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p>
        </w:tc>
        <w:tc>
          <w:tcPr>
            <w:tcW w:w="1135" w:type="pct"/>
            <w:noWrap w:val="0"/>
            <w:vAlign w:val="center"/>
          </w:tcPr>
          <w:p w14:paraId="02E1D8F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大夏</w:t>
            </w:r>
          </w:p>
        </w:tc>
        <w:tc>
          <w:tcPr>
            <w:tcW w:w="477" w:type="pct"/>
            <w:noWrap w:val="0"/>
            <w:vAlign w:val="center"/>
          </w:tcPr>
          <w:p w14:paraId="01DF8DC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NW</w:t>
            </w:r>
          </w:p>
        </w:tc>
        <w:tc>
          <w:tcPr>
            <w:tcW w:w="511" w:type="pct"/>
            <w:noWrap w:val="0"/>
            <w:vAlign w:val="center"/>
          </w:tcPr>
          <w:p w14:paraId="7107996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1400</w:t>
            </w:r>
          </w:p>
        </w:tc>
        <w:tc>
          <w:tcPr>
            <w:tcW w:w="1316" w:type="pct"/>
            <w:noWrap w:val="0"/>
            <w:vAlign w:val="center"/>
          </w:tcPr>
          <w:p w14:paraId="4ED6A40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20户，80人</w:t>
            </w:r>
          </w:p>
        </w:tc>
        <w:tc>
          <w:tcPr>
            <w:tcW w:w="813" w:type="pct"/>
            <w:vMerge w:val="continue"/>
            <w:noWrap w:val="0"/>
            <w:vAlign w:val="center"/>
          </w:tcPr>
          <w:p w14:paraId="414224C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14:textFill>
                  <w14:solidFill>
                    <w14:schemeClr w14:val="tx1"/>
                  </w14:solidFill>
                </w14:textFill>
              </w:rPr>
            </w:pPr>
          </w:p>
        </w:tc>
      </w:tr>
      <w:tr w14:paraId="45BFB6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4" w:type="pct"/>
            <w:vMerge w:val="continue"/>
            <w:noWrap w:val="0"/>
            <w:vAlign w:val="center"/>
          </w:tcPr>
          <w:p w14:paraId="710C54E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p>
        </w:tc>
        <w:tc>
          <w:tcPr>
            <w:tcW w:w="1135" w:type="pct"/>
            <w:noWrap w:val="0"/>
            <w:vAlign w:val="center"/>
          </w:tcPr>
          <w:p w14:paraId="0C69448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小夏</w:t>
            </w:r>
          </w:p>
        </w:tc>
        <w:tc>
          <w:tcPr>
            <w:tcW w:w="477" w:type="pct"/>
            <w:noWrap w:val="0"/>
            <w:vAlign w:val="center"/>
          </w:tcPr>
          <w:p w14:paraId="34B17A1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NW</w:t>
            </w:r>
          </w:p>
        </w:tc>
        <w:tc>
          <w:tcPr>
            <w:tcW w:w="511" w:type="pct"/>
            <w:noWrap w:val="0"/>
            <w:vAlign w:val="center"/>
          </w:tcPr>
          <w:p w14:paraId="1E84BA8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1600</w:t>
            </w:r>
          </w:p>
        </w:tc>
        <w:tc>
          <w:tcPr>
            <w:tcW w:w="1316" w:type="pct"/>
            <w:noWrap w:val="0"/>
            <w:vAlign w:val="center"/>
          </w:tcPr>
          <w:p w14:paraId="179F307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15户，60人</w:t>
            </w:r>
          </w:p>
        </w:tc>
        <w:tc>
          <w:tcPr>
            <w:tcW w:w="813" w:type="pct"/>
            <w:vMerge w:val="continue"/>
            <w:noWrap w:val="0"/>
            <w:vAlign w:val="center"/>
          </w:tcPr>
          <w:p w14:paraId="7141D64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14:textFill>
                  <w14:solidFill>
                    <w14:schemeClr w14:val="tx1"/>
                  </w14:solidFill>
                </w14:textFill>
              </w:rPr>
            </w:pPr>
          </w:p>
        </w:tc>
      </w:tr>
      <w:tr w14:paraId="1E9856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4" w:type="pct"/>
            <w:vMerge w:val="continue"/>
            <w:noWrap w:val="0"/>
            <w:vAlign w:val="center"/>
          </w:tcPr>
          <w:p w14:paraId="1AC763A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p>
        </w:tc>
        <w:tc>
          <w:tcPr>
            <w:tcW w:w="1135" w:type="pct"/>
            <w:noWrap w:val="0"/>
            <w:vAlign w:val="center"/>
          </w:tcPr>
          <w:p w14:paraId="3B493E9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朱庄</w:t>
            </w:r>
          </w:p>
        </w:tc>
        <w:tc>
          <w:tcPr>
            <w:tcW w:w="477" w:type="pct"/>
            <w:noWrap w:val="0"/>
            <w:vAlign w:val="center"/>
          </w:tcPr>
          <w:p w14:paraId="43F2139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NW</w:t>
            </w:r>
          </w:p>
        </w:tc>
        <w:tc>
          <w:tcPr>
            <w:tcW w:w="511" w:type="pct"/>
            <w:noWrap w:val="0"/>
            <w:vAlign w:val="center"/>
          </w:tcPr>
          <w:p w14:paraId="20F758B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2350</w:t>
            </w:r>
          </w:p>
        </w:tc>
        <w:tc>
          <w:tcPr>
            <w:tcW w:w="1316" w:type="pct"/>
            <w:noWrap w:val="0"/>
            <w:vAlign w:val="center"/>
          </w:tcPr>
          <w:p w14:paraId="6854D48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15户，60人</w:t>
            </w:r>
          </w:p>
        </w:tc>
        <w:tc>
          <w:tcPr>
            <w:tcW w:w="813" w:type="pct"/>
            <w:vMerge w:val="continue"/>
            <w:noWrap w:val="0"/>
            <w:vAlign w:val="center"/>
          </w:tcPr>
          <w:p w14:paraId="29D5A42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14:textFill>
                  <w14:solidFill>
                    <w14:schemeClr w14:val="tx1"/>
                  </w14:solidFill>
                </w14:textFill>
              </w:rPr>
            </w:pPr>
          </w:p>
        </w:tc>
      </w:tr>
      <w:tr w14:paraId="455320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4" w:type="pct"/>
            <w:vMerge w:val="continue"/>
            <w:noWrap w:val="0"/>
            <w:vAlign w:val="center"/>
          </w:tcPr>
          <w:p w14:paraId="03204CA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p>
        </w:tc>
        <w:tc>
          <w:tcPr>
            <w:tcW w:w="1135" w:type="pct"/>
            <w:noWrap w:val="0"/>
            <w:vAlign w:val="center"/>
          </w:tcPr>
          <w:p w14:paraId="15CD986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戴老集</w:t>
            </w:r>
          </w:p>
        </w:tc>
        <w:tc>
          <w:tcPr>
            <w:tcW w:w="477" w:type="pct"/>
            <w:noWrap w:val="0"/>
            <w:vAlign w:val="center"/>
          </w:tcPr>
          <w:p w14:paraId="0826E8E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NW</w:t>
            </w:r>
          </w:p>
        </w:tc>
        <w:tc>
          <w:tcPr>
            <w:tcW w:w="511" w:type="pct"/>
            <w:noWrap w:val="0"/>
            <w:vAlign w:val="center"/>
          </w:tcPr>
          <w:p w14:paraId="6DF34BB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2750</w:t>
            </w:r>
          </w:p>
        </w:tc>
        <w:tc>
          <w:tcPr>
            <w:tcW w:w="1316" w:type="pct"/>
            <w:noWrap w:val="0"/>
            <w:vAlign w:val="center"/>
          </w:tcPr>
          <w:p w14:paraId="5A75242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50户，200人</w:t>
            </w:r>
          </w:p>
        </w:tc>
        <w:tc>
          <w:tcPr>
            <w:tcW w:w="813" w:type="pct"/>
            <w:vMerge w:val="continue"/>
            <w:noWrap w:val="0"/>
            <w:vAlign w:val="center"/>
          </w:tcPr>
          <w:p w14:paraId="506C9D3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14:textFill>
                  <w14:solidFill>
                    <w14:schemeClr w14:val="tx1"/>
                  </w14:solidFill>
                </w14:textFill>
              </w:rPr>
            </w:pPr>
          </w:p>
        </w:tc>
      </w:tr>
      <w:tr w14:paraId="4C883B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4" w:type="pct"/>
            <w:vMerge w:val="restart"/>
            <w:noWrap w:val="0"/>
            <w:vAlign w:val="center"/>
          </w:tcPr>
          <w:p w14:paraId="3A9498A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地表水环境</w:t>
            </w:r>
          </w:p>
        </w:tc>
        <w:tc>
          <w:tcPr>
            <w:tcW w:w="1135" w:type="pct"/>
            <w:noWrap w:val="0"/>
            <w:vAlign w:val="center"/>
          </w:tcPr>
          <w:p w14:paraId="108E7286">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14:textFill>
                  <w14:solidFill>
                    <w14:schemeClr w14:val="tx1"/>
                  </w14:solidFill>
                </w14:textFill>
              </w:rPr>
            </w:pPr>
            <w:r>
              <w:rPr>
                <w:rFonts w:hint="eastAsia" w:ascii="宋体" w:hAnsi="宋体" w:eastAsia="宋体" w:cs="宋体"/>
                <w:b w:val="0"/>
                <w:bCs w:val="0"/>
                <w:color w:val="000000" w:themeColor="text1"/>
                <w:kern w:val="0"/>
                <w:sz w:val="21"/>
                <w:szCs w:val="21"/>
                <w:lang w:val="en-US" w:eastAsia="zh-CN" w:bidi="ar"/>
                <w14:textFill>
                  <w14:solidFill>
                    <w14:schemeClr w14:val="tx1"/>
                  </w14:solidFill>
                </w14:textFill>
              </w:rPr>
              <w:t>双桥河</w:t>
            </w:r>
          </w:p>
        </w:tc>
        <w:tc>
          <w:tcPr>
            <w:tcW w:w="477" w:type="pct"/>
            <w:noWrap w:val="0"/>
            <w:vAlign w:val="center"/>
          </w:tcPr>
          <w:p w14:paraId="4610FFE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S</w:t>
            </w:r>
          </w:p>
        </w:tc>
        <w:tc>
          <w:tcPr>
            <w:tcW w:w="511" w:type="pct"/>
            <w:noWrap w:val="0"/>
            <w:vAlign w:val="center"/>
          </w:tcPr>
          <w:p w14:paraId="1A6AEC9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190</w:t>
            </w:r>
          </w:p>
        </w:tc>
        <w:tc>
          <w:tcPr>
            <w:tcW w:w="1316" w:type="pct"/>
            <w:noWrap w:val="0"/>
            <w:vAlign w:val="center"/>
          </w:tcPr>
          <w:p w14:paraId="2A69413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小型</w:t>
            </w:r>
          </w:p>
        </w:tc>
        <w:tc>
          <w:tcPr>
            <w:tcW w:w="813" w:type="pct"/>
            <w:noWrap w:val="0"/>
            <w:vAlign w:val="center"/>
          </w:tcPr>
          <w:p w14:paraId="268BFB6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GB3838-2002</w:t>
            </w:r>
          </w:p>
          <w:p w14:paraId="20A9D1A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中Ⅳ类</w:t>
            </w:r>
          </w:p>
        </w:tc>
      </w:tr>
      <w:tr w14:paraId="7FE095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4" w:type="pct"/>
            <w:vMerge w:val="continue"/>
            <w:noWrap w:val="0"/>
            <w:vAlign w:val="center"/>
          </w:tcPr>
          <w:p w14:paraId="7AD6EF1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p>
        </w:tc>
        <w:tc>
          <w:tcPr>
            <w:tcW w:w="1135" w:type="pct"/>
            <w:noWrap w:val="0"/>
            <w:vAlign w:val="center"/>
          </w:tcPr>
          <w:p w14:paraId="182D4FFA">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石拔河</w:t>
            </w:r>
          </w:p>
        </w:tc>
        <w:tc>
          <w:tcPr>
            <w:tcW w:w="477" w:type="pct"/>
            <w:noWrap w:val="0"/>
            <w:vAlign w:val="center"/>
          </w:tcPr>
          <w:p w14:paraId="089005B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S</w:t>
            </w:r>
          </w:p>
        </w:tc>
        <w:tc>
          <w:tcPr>
            <w:tcW w:w="511" w:type="pct"/>
            <w:noWrap w:val="0"/>
            <w:vAlign w:val="center"/>
          </w:tcPr>
          <w:p w14:paraId="57A84E0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w:t>
            </w:r>
          </w:p>
        </w:tc>
        <w:tc>
          <w:tcPr>
            <w:tcW w:w="1316" w:type="pct"/>
            <w:noWrap w:val="0"/>
            <w:vAlign w:val="center"/>
          </w:tcPr>
          <w:p w14:paraId="78BFB45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t>小型</w:t>
            </w:r>
          </w:p>
        </w:tc>
        <w:tc>
          <w:tcPr>
            <w:tcW w:w="813" w:type="pct"/>
            <w:noWrap w:val="0"/>
            <w:vAlign w:val="center"/>
          </w:tcPr>
          <w:p w14:paraId="7D254F1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GB3838-2002</w:t>
            </w:r>
          </w:p>
          <w:p w14:paraId="30091AA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中Ⅲ类</w:t>
            </w:r>
          </w:p>
        </w:tc>
      </w:tr>
      <w:tr w14:paraId="7C9868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4" w:type="pct"/>
            <w:vMerge w:val="restart"/>
            <w:noWrap w:val="0"/>
            <w:vAlign w:val="center"/>
          </w:tcPr>
          <w:p w14:paraId="3F18758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color w:val="000000"/>
                <w:sz w:val="21"/>
                <w:szCs w:val="21"/>
              </w:rPr>
              <w:t>声环境</w:t>
            </w:r>
          </w:p>
        </w:tc>
        <w:tc>
          <w:tcPr>
            <w:tcW w:w="1135" w:type="pct"/>
            <w:shd w:val="clear" w:color="auto" w:fill="auto"/>
            <w:noWrap w:val="0"/>
            <w:vAlign w:val="center"/>
          </w:tcPr>
          <w:p w14:paraId="665BF3C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安王</w:t>
            </w:r>
          </w:p>
        </w:tc>
        <w:tc>
          <w:tcPr>
            <w:tcW w:w="477" w:type="pct"/>
            <w:shd w:val="clear" w:color="auto" w:fill="auto"/>
            <w:noWrap w:val="0"/>
            <w:vAlign w:val="center"/>
          </w:tcPr>
          <w:p w14:paraId="1445A9E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ESE</w:t>
            </w:r>
          </w:p>
        </w:tc>
        <w:tc>
          <w:tcPr>
            <w:tcW w:w="511" w:type="pct"/>
            <w:shd w:val="clear" w:color="auto" w:fill="auto"/>
            <w:noWrap w:val="0"/>
            <w:vAlign w:val="center"/>
          </w:tcPr>
          <w:p w14:paraId="05D2ED7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4</w:t>
            </w:r>
          </w:p>
        </w:tc>
        <w:tc>
          <w:tcPr>
            <w:tcW w:w="1316" w:type="pct"/>
            <w:shd w:val="clear" w:color="auto" w:fill="auto"/>
            <w:noWrap w:val="0"/>
            <w:vAlign w:val="center"/>
          </w:tcPr>
          <w:p w14:paraId="5193832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20户，80人</w:t>
            </w:r>
          </w:p>
        </w:tc>
        <w:tc>
          <w:tcPr>
            <w:tcW w:w="813" w:type="pct"/>
            <w:vMerge w:val="restart"/>
            <w:noWrap w:val="0"/>
            <w:vAlign w:val="center"/>
          </w:tcPr>
          <w:p w14:paraId="7EF69EE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敏感点执行</w:t>
            </w:r>
          </w:p>
          <w:p w14:paraId="4CF1C943">
            <w:pPr>
              <w:keepNext w:val="0"/>
              <w:keepLines w:val="0"/>
              <w:pageBreakBefore w:val="0"/>
              <w:widowControl w:val="0"/>
              <w:kinsoku/>
              <w:wordWrap/>
              <w:overflowPunct/>
              <w:topLinePunct w:val="0"/>
              <w:autoSpaceDE/>
              <w:autoSpaceDN/>
              <w:bidi w:val="0"/>
              <w:adjustRightInd/>
              <w:snapToGrid w:val="0"/>
              <w:jc w:val="both"/>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GB3096-2008</w:t>
            </w:r>
          </w:p>
          <w:p w14:paraId="7DB13D7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中2类</w:t>
            </w:r>
          </w:p>
        </w:tc>
      </w:tr>
      <w:tr w14:paraId="782E61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4" w:type="pct"/>
            <w:vMerge w:val="continue"/>
            <w:noWrap w:val="0"/>
            <w:vAlign w:val="center"/>
          </w:tcPr>
          <w:p w14:paraId="562E58F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000000" w:themeColor="text1"/>
                <w:sz w:val="21"/>
                <w:szCs w:val="21"/>
                <w14:textFill>
                  <w14:solidFill>
                    <w14:schemeClr w14:val="tx1"/>
                  </w14:solidFill>
                </w14:textFill>
              </w:rPr>
            </w:pPr>
          </w:p>
        </w:tc>
        <w:tc>
          <w:tcPr>
            <w:tcW w:w="1135" w:type="pct"/>
            <w:shd w:val="clear" w:color="auto" w:fill="auto"/>
            <w:noWrap w:val="0"/>
            <w:vAlign w:val="top"/>
          </w:tcPr>
          <w:p w14:paraId="218EFE5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姜庄</w:t>
            </w:r>
          </w:p>
        </w:tc>
        <w:tc>
          <w:tcPr>
            <w:tcW w:w="477" w:type="pct"/>
            <w:shd w:val="clear" w:color="auto" w:fill="auto"/>
            <w:noWrap w:val="0"/>
            <w:vAlign w:val="top"/>
          </w:tcPr>
          <w:p w14:paraId="1E787F9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W</w:t>
            </w:r>
          </w:p>
        </w:tc>
        <w:tc>
          <w:tcPr>
            <w:tcW w:w="511" w:type="pct"/>
            <w:shd w:val="clear" w:color="auto" w:fill="auto"/>
            <w:noWrap w:val="0"/>
            <w:vAlign w:val="top"/>
          </w:tcPr>
          <w:p w14:paraId="779BEE9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89</w:t>
            </w:r>
          </w:p>
        </w:tc>
        <w:tc>
          <w:tcPr>
            <w:tcW w:w="1316" w:type="pct"/>
            <w:shd w:val="clear" w:color="auto" w:fill="auto"/>
            <w:noWrap w:val="0"/>
            <w:vAlign w:val="top"/>
          </w:tcPr>
          <w:p w14:paraId="778B263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20户，80人</w:t>
            </w:r>
          </w:p>
        </w:tc>
        <w:tc>
          <w:tcPr>
            <w:tcW w:w="813" w:type="pct"/>
            <w:vMerge w:val="continue"/>
            <w:noWrap w:val="0"/>
            <w:vAlign w:val="center"/>
          </w:tcPr>
          <w:p w14:paraId="2456D49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p>
        </w:tc>
      </w:tr>
      <w:tr w14:paraId="08F665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4" w:type="pct"/>
            <w:noWrap w:val="0"/>
            <w:vAlign w:val="center"/>
          </w:tcPr>
          <w:p w14:paraId="6F26ED1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地下水环境</w:t>
            </w:r>
          </w:p>
        </w:tc>
        <w:tc>
          <w:tcPr>
            <w:tcW w:w="1135" w:type="pct"/>
            <w:noWrap w:val="0"/>
            <w:vAlign w:val="center"/>
          </w:tcPr>
          <w:p w14:paraId="5B906C4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不涉及</w:t>
            </w:r>
          </w:p>
        </w:tc>
        <w:tc>
          <w:tcPr>
            <w:tcW w:w="2306" w:type="pct"/>
            <w:gridSpan w:val="3"/>
            <w:noWrap w:val="0"/>
            <w:vAlign w:val="center"/>
          </w:tcPr>
          <w:p w14:paraId="2D8E606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w:t>
            </w:r>
          </w:p>
        </w:tc>
        <w:tc>
          <w:tcPr>
            <w:tcW w:w="813" w:type="pct"/>
            <w:noWrap w:val="0"/>
            <w:vAlign w:val="center"/>
          </w:tcPr>
          <w:p w14:paraId="0FAE4D6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w:t>
            </w:r>
          </w:p>
        </w:tc>
      </w:tr>
      <w:tr w14:paraId="25B205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4" w:type="pct"/>
            <w:noWrap w:val="0"/>
            <w:vAlign w:val="center"/>
          </w:tcPr>
          <w:p w14:paraId="17CFCDE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生态环境</w:t>
            </w:r>
          </w:p>
        </w:tc>
        <w:tc>
          <w:tcPr>
            <w:tcW w:w="1135" w:type="pct"/>
            <w:noWrap w:val="0"/>
            <w:vAlign w:val="center"/>
          </w:tcPr>
          <w:p w14:paraId="0E43C6A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不涉及</w:t>
            </w:r>
          </w:p>
        </w:tc>
        <w:tc>
          <w:tcPr>
            <w:tcW w:w="2306" w:type="pct"/>
            <w:gridSpan w:val="3"/>
            <w:noWrap w:val="0"/>
            <w:vAlign w:val="center"/>
          </w:tcPr>
          <w:p w14:paraId="5E9AC27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w:t>
            </w:r>
          </w:p>
        </w:tc>
        <w:tc>
          <w:tcPr>
            <w:tcW w:w="813" w:type="pct"/>
            <w:noWrap w:val="0"/>
            <w:vAlign w:val="center"/>
          </w:tcPr>
          <w:p w14:paraId="5F445C5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r>
    </w:tbl>
    <w:p w14:paraId="626A3D08">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auto"/>
        <w:outlineLvl w:val="2"/>
        <w:rPr>
          <w:rFonts w:hint="eastAsia" w:ascii="宋体" w:hAnsi="宋体" w:eastAsia="宋体" w:cs="宋体"/>
          <w:b/>
          <w:bCs/>
          <w:color w:val="000000" w:themeColor="text1"/>
          <w:kern w:val="0"/>
          <w:sz w:val="24"/>
          <w:szCs w:val="24"/>
          <w:lang w:val="en-US" w:eastAsia="zh-CN" w:bidi="ar"/>
          <w14:textFill>
            <w14:solidFill>
              <w14:schemeClr w14:val="tx1"/>
            </w14:solidFill>
          </w14:textFill>
        </w:rPr>
      </w:pPr>
      <w:bookmarkStart w:id="12" w:name="_Toc20543"/>
      <w:r>
        <w:rPr>
          <w:rFonts w:hint="eastAsia" w:ascii="宋体" w:hAnsi="宋体" w:eastAsia="宋体" w:cs="宋体"/>
          <w:b/>
          <w:bCs/>
          <w:color w:val="000000" w:themeColor="text1"/>
          <w:kern w:val="0"/>
          <w:sz w:val="24"/>
          <w:szCs w:val="24"/>
          <w:lang w:val="en-US" w:eastAsia="zh-CN" w:bidi="ar"/>
          <w14:textFill>
            <w14:solidFill>
              <w14:schemeClr w14:val="tx1"/>
            </w14:solidFill>
          </w14:textFill>
        </w:rPr>
        <w:t>3.1.3</w:t>
      </w:r>
      <w:r>
        <w:rPr>
          <w:rFonts w:hint="eastAsia" w:ascii="宋体" w:hAnsi="宋体" w:cs="宋体"/>
          <w:b/>
          <w:bCs/>
          <w:color w:val="000000" w:themeColor="text1"/>
          <w:kern w:val="0"/>
          <w:sz w:val="24"/>
          <w:szCs w:val="24"/>
          <w:lang w:val="en-US" w:eastAsia="zh-CN" w:bidi="ar"/>
          <w14:textFill>
            <w14:solidFill>
              <w14:schemeClr w14:val="tx1"/>
            </w14:solidFill>
          </w14:textFill>
        </w:rPr>
        <w:t xml:space="preserve">  </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平面布置</w:t>
      </w:r>
      <w:bookmarkEnd w:id="12"/>
    </w:p>
    <w:p w14:paraId="7E632DB2">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整个厂区按功能划分为办公区及生产区。生产区与办公区之间以大面积绿化隔离带分隔，这种分区使生产区及办公区之间联系紧密又相对独立性，互不干扰，工艺流程简洁，联系使用方便，为创造一个环境舒适的新型污水处理厂创造了有利条件。在考虑合理分区的同时，对厂区的人流、车流进行了组织，路线清晰，净污分流，满足运输、消防的要求。</w:t>
      </w:r>
    </w:p>
    <w:p w14:paraId="0CB86C9D">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厂前区位于厂区的南部，位于</w:t>
      </w:r>
      <w:r>
        <w:rPr>
          <w:rFonts w:hint="eastAsia" w:ascii="宋体" w:hAnsi="宋体" w:cs="宋体"/>
          <w:color w:val="000000" w:themeColor="text1"/>
          <w:kern w:val="0"/>
          <w:sz w:val="24"/>
          <w:szCs w:val="24"/>
          <w:lang w:val="en-US" w:eastAsia="zh-CN" w:bidi="ar"/>
          <w14:textFill>
            <w14:solidFill>
              <w14:schemeClr w14:val="tx1"/>
            </w14:solidFill>
          </w14:textFill>
        </w:rPr>
        <w:t>常年</w:t>
      </w:r>
      <w:r>
        <w:rPr>
          <w:rFonts w:hint="eastAsia" w:ascii="宋体" w:hAnsi="宋体" w:eastAsia="宋体" w:cs="宋体"/>
          <w:color w:val="000000" w:themeColor="text1"/>
          <w:kern w:val="0"/>
          <w:sz w:val="24"/>
          <w:szCs w:val="24"/>
          <w:lang w:val="en-US" w:eastAsia="zh-CN" w:bidi="ar"/>
          <w14:textFill>
            <w14:solidFill>
              <w14:schemeClr w14:val="tx1"/>
            </w14:solidFill>
          </w14:textFill>
        </w:rPr>
        <w:t>主导风向上风向。主要包括综合楼、厂前广场、值班室等。该区远离污泥区及污水处理预处理沟等产生气味较大的区域，且用绿化带进一步把它与</w:t>
      </w:r>
      <w:r>
        <w:rPr>
          <w:rFonts w:hint="eastAsia" w:ascii="宋体" w:hAnsi="宋体" w:cs="宋体"/>
          <w:color w:val="000000" w:themeColor="text1"/>
          <w:kern w:val="0"/>
          <w:sz w:val="24"/>
          <w:szCs w:val="24"/>
          <w:lang w:val="en-US" w:eastAsia="zh-CN" w:bidi="ar"/>
          <w14:textFill>
            <w14:solidFill>
              <w14:schemeClr w14:val="tx1"/>
            </w14:solidFill>
          </w14:textFill>
        </w:rPr>
        <w:t>其他</w:t>
      </w:r>
      <w:r>
        <w:rPr>
          <w:rFonts w:hint="eastAsia" w:ascii="宋体" w:hAnsi="宋体" w:eastAsia="宋体" w:cs="宋体"/>
          <w:color w:val="000000" w:themeColor="text1"/>
          <w:kern w:val="0"/>
          <w:sz w:val="24"/>
          <w:szCs w:val="24"/>
          <w:lang w:val="en-US" w:eastAsia="zh-CN" w:bidi="ar"/>
          <w14:textFill>
            <w14:solidFill>
              <w14:schemeClr w14:val="tx1"/>
            </w14:solidFill>
          </w14:textFill>
        </w:rPr>
        <w:t>分开能够避免气味对其造成的影响。</w:t>
      </w:r>
    </w:p>
    <w:p w14:paraId="36930F5C">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生产区包括污水生产区和污泥处理区：污水生产区是污水处理厂</w:t>
      </w:r>
      <w:r>
        <w:rPr>
          <w:rFonts w:hint="eastAsia" w:ascii="宋体" w:hAnsi="宋体" w:cs="宋体"/>
          <w:color w:val="000000" w:themeColor="text1"/>
          <w:kern w:val="0"/>
          <w:sz w:val="24"/>
          <w:szCs w:val="24"/>
          <w:lang w:val="en-US" w:eastAsia="zh-CN" w:bidi="ar"/>
          <w14:textFill>
            <w14:solidFill>
              <w14:schemeClr w14:val="tx1"/>
            </w14:solidFill>
          </w14:textFill>
        </w:rPr>
        <w:t>的核</w:t>
      </w:r>
      <w:r>
        <w:rPr>
          <w:rFonts w:hint="eastAsia" w:ascii="宋体" w:hAnsi="宋体" w:eastAsia="宋体" w:cs="宋体"/>
          <w:color w:val="000000" w:themeColor="text1"/>
          <w:kern w:val="0"/>
          <w:sz w:val="24"/>
          <w:szCs w:val="24"/>
          <w:lang w:val="en-US" w:eastAsia="zh-CN" w:bidi="ar"/>
          <w14:textFill>
            <w14:solidFill>
              <w14:schemeClr w14:val="tx1"/>
            </w14:solidFill>
          </w14:textFill>
        </w:rPr>
        <w:t>心区，位于一期工程厂区的中部，其中污水预处理区（包括粗格栅、进水泵房、细格栅、曝气沉砂池）位于区域的西南侧，处于下风向对整个厂区的影响较小，污水主生产区位于厂区的东北侧，从北向南依次为水解池、氧化沟配水井、氧化沟、二沉池配水井及污泥泵池、二沉池、二次提升泵房、高效沉淀池、反硝化深床滤池和接触消毒池，在厂区布置时，用绿化带把污水生产区与厂前区分开，尽量减少它对厂前区的气味影响，为减小恶臭气体对</w:t>
      </w:r>
      <w:r>
        <w:rPr>
          <w:rFonts w:hint="eastAsia" w:ascii="宋体" w:hAnsi="宋体" w:cs="宋体"/>
          <w:color w:val="000000" w:themeColor="text1"/>
          <w:kern w:val="0"/>
          <w:sz w:val="24"/>
          <w:szCs w:val="24"/>
          <w:lang w:val="en-US" w:eastAsia="zh-CN" w:bidi="ar"/>
          <w14:textFill>
            <w14:solidFill>
              <w14:schemeClr w14:val="tx1"/>
            </w14:solidFill>
          </w14:textFill>
        </w:rPr>
        <w:t>污水处理厂</w:t>
      </w:r>
      <w:r>
        <w:rPr>
          <w:rFonts w:hint="eastAsia" w:ascii="宋体" w:hAnsi="宋体" w:eastAsia="宋体" w:cs="宋体"/>
          <w:color w:val="000000" w:themeColor="text1"/>
          <w:kern w:val="0"/>
          <w:sz w:val="24"/>
          <w:szCs w:val="24"/>
          <w:lang w:val="en-US" w:eastAsia="zh-CN" w:bidi="ar"/>
          <w14:textFill>
            <w14:solidFill>
              <w14:schemeClr w14:val="tx1"/>
            </w14:solidFill>
          </w14:textFill>
        </w:rPr>
        <w:t>环境的影响，在</w:t>
      </w:r>
      <w:r>
        <w:rPr>
          <w:rFonts w:hint="eastAsia" w:ascii="宋体" w:hAnsi="宋体" w:cs="宋体"/>
          <w:color w:val="000000" w:themeColor="text1"/>
          <w:kern w:val="0"/>
          <w:sz w:val="24"/>
          <w:szCs w:val="24"/>
          <w:lang w:val="en-US" w:eastAsia="zh-CN" w:bidi="ar"/>
          <w14:textFill>
            <w14:solidFill>
              <w14:schemeClr w14:val="tx1"/>
            </w14:solidFill>
          </w14:textFill>
        </w:rPr>
        <w:t>污水处理厂</w:t>
      </w:r>
      <w:r>
        <w:rPr>
          <w:rFonts w:hint="eastAsia" w:ascii="宋体" w:hAnsi="宋体" w:eastAsia="宋体" w:cs="宋体"/>
          <w:color w:val="000000" w:themeColor="text1"/>
          <w:kern w:val="0"/>
          <w:sz w:val="24"/>
          <w:szCs w:val="24"/>
          <w:lang w:val="en-US" w:eastAsia="zh-CN" w:bidi="ar"/>
          <w14:textFill>
            <w14:solidFill>
              <w14:schemeClr w14:val="tx1"/>
            </w14:solidFill>
          </w14:textFill>
        </w:rPr>
        <w:t>西北侧，细格栅及旋流沉砂池北侧设一座生物滤池，去除粗格栅及进水泵房及曝气沉砂池以及污泥浓缩脱水车间产生的臭气；</w:t>
      </w:r>
    </w:p>
    <w:p w14:paraId="79B8F5CC">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sectPr>
          <w:footerReference r:id="rId7" w:type="default"/>
          <w:pgSz w:w="11906" w:h="16838"/>
          <w:pgMar w:top="1440" w:right="1800" w:bottom="1440" w:left="1800" w:header="851" w:footer="992" w:gutter="0"/>
          <w:pgBorders w:offsetFrom="page">
            <w:top w:val="none" w:sz="0" w:space="0"/>
            <w:left w:val="none" w:sz="0" w:space="0"/>
            <w:bottom w:val="none" w:sz="0" w:space="0"/>
            <w:right w:val="none" w:sz="0" w:space="0"/>
          </w:pgBorders>
          <w:pgNumType w:fmt="decimal" w:start="1"/>
          <w:cols w:space="425" w:num="1"/>
          <w:docGrid w:type="lines" w:linePitch="312" w:charSpace="0"/>
        </w:sectPr>
      </w:pPr>
      <w:r>
        <w:rPr>
          <w:rFonts w:hint="eastAsia" w:ascii="宋体" w:hAnsi="宋体" w:eastAsia="宋体" w:cs="宋体"/>
          <w:color w:val="000000" w:themeColor="text1"/>
          <w:kern w:val="0"/>
          <w:sz w:val="24"/>
          <w:szCs w:val="24"/>
          <w:lang w:val="en-US" w:eastAsia="zh-CN" w:bidi="ar"/>
          <w14:textFill>
            <w14:solidFill>
              <w14:schemeClr w14:val="tx1"/>
            </w14:solidFill>
          </w14:textFill>
        </w:rPr>
        <w:t>污泥处理区布置在整个厂区的西侧，靠近二沉池，生产时产生的臭味对厂前区影响较小，同时，为了维持厂内环境卫生，将污泥处理部分相对集中布置，泥饼从侧门外运。全厂总平面布置见图3.1-3。</w:t>
      </w:r>
    </w:p>
    <w:p w14:paraId="51528437">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eastAsia" w:ascii="宋体" w:hAnsi="宋体" w:eastAsia="宋体" w:cs="宋体"/>
          <w:b/>
          <w:bCs/>
          <w:color w:val="000000"/>
          <w:kern w:val="0"/>
          <w:sz w:val="24"/>
          <w:szCs w:val="24"/>
          <w:lang w:val="en-US" w:eastAsia="zh-CN" w:bidi="ar"/>
        </w:rPr>
      </w:pPr>
      <w:r>
        <w:rPr>
          <w:rFonts w:hint="eastAsia" w:ascii="宋体" w:hAnsi="宋体" w:cs="宋体"/>
        </w:rPr>
        <w:drawing>
          <wp:anchor distT="0" distB="0" distL="114300" distR="114300" simplePos="0" relativeHeight="251662336" behindDoc="0" locked="0" layoutInCell="1" allowOverlap="1">
            <wp:simplePos x="0" y="0"/>
            <wp:positionH relativeFrom="column">
              <wp:posOffset>7302500</wp:posOffset>
            </wp:positionH>
            <wp:positionV relativeFrom="paragraph">
              <wp:posOffset>80010</wp:posOffset>
            </wp:positionV>
            <wp:extent cx="822960" cy="814070"/>
            <wp:effectExtent l="0" t="0" r="15240" b="5080"/>
            <wp:wrapNone/>
            <wp:docPr id="20" name="图片 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02"/>
                    <pic:cNvPicPr>
                      <a:picLocks noChangeAspect="1"/>
                    </pic:cNvPicPr>
                  </pic:nvPicPr>
                  <pic:blipFill>
                    <a:blip r:embed="rId10"/>
                    <a:stretch>
                      <a:fillRect/>
                    </a:stretch>
                  </pic:blipFill>
                  <pic:spPr>
                    <a:xfrm>
                      <a:off x="0" y="0"/>
                      <a:ext cx="822960" cy="814070"/>
                    </a:xfrm>
                    <a:prstGeom prst="rect">
                      <a:avLst/>
                    </a:prstGeom>
                    <a:noFill/>
                    <a:ln>
                      <a:noFill/>
                    </a:ln>
                  </pic:spPr>
                </pic:pic>
              </a:graphicData>
            </a:graphic>
          </wp:anchor>
        </w:drawing>
      </w:r>
      <w:r>
        <w:rPr>
          <w:rFonts w:hint="eastAsia" w:ascii="宋体" w:hAnsi="宋体" w:cs="宋体"/>
        </w:rPr>
        <mc:AlternateContent>
          <mc:Choice Requires="wps">
            <w:drawing>
              <wp:anchor distT="0" distB="0" distL="114300" distR="114300" simplePos="0" relativeHeight="251661312" behindDoc="0" locked="0" layoutInCell="1" allowOverlap="1">
                <wp:simplePos x="0" y="0"/>
                <wp:positionH relativeFrom="column">
                  <wp:posOffset>2727960</wp:posOffset>
                </wp:positionH>
                <wp:positionV relativeFrom="paragraph">
                  <wp:posOffset>981075</wp:posOffset>
                </wp:positionV>
                <wp:extent cx="1724660" cy="415290"/>
                <wp:effectExtent l="5080" t="5080" r="22860" b="436880"/>
                <wp:wrapNone/>
                <wp:docPr id="43" name="椭圆形标注 6"/>
                <wp:cNvGraphicFramePr/>
                <a:graphic xmlns:a="http://schemas.openxmlformats.org/drawingml/2006/main">
                  <a:graphicData uri="http://schemas.microsoft.com/office/word/2010/wordprocessingShape">
                    <wps:wsp>
                      <wps:cNvSpPr/>
                      <wps:spPr>
                        <a:xfrm>
                          <a:off x="0" y="0"/>
                          <a:ext cx="1724660" cy="415290"/>
                        </a:xfrm>
                        <a:prstGeom prst="wedgeEllipseCallout">
                          <a:avLst>
                            <a:gd name="adj1" fmla="val 39615"/>
                            <a:gd name="adj2" fmla="val 150900"/>
                          </a:avLst>
                        </a:prstGeom>
                        <a:noFill/>
                        <a:ln w="9525" cap="flat" cmpd="sng">
                          <a:solidFill>
                            <a:srgbClr val="000000"/>
                          </a:solidFill>
                          <a:prstDash val="solid"/>
                          <a:miter/>
                          <a:headEnd type="none" w="med" len="med"/>
                          <a:tailEnd type="none" w="med" len="med"/>
                        </a:ln>
                        <a:effectLst/>
                      </wps:spPr>
                      <wps:txbx>
                        <w:txbxContent>
                          <w:p w14:paraId="7958E14F">
                            <w:pPr>
                              <w:jc w:val="center"/>
                              <w:rPr>
                                <w:b/>
                                <w:sz w:val="18"/>
                                <w:szCs w:val="18"/>
                              </w:rPr>
                            </w:pPr>
                            <w:r>
                              <w:rPr>
                                <w:rFonts w:hint="eastAsia"/>
                                <w:b/>
                                <w:sz w:val="18"/>
                                <w:szCs w:val="18"/>
                              </w:rPr>
                              <w:t>本项目地理位置</w:t>
                            </w:r>
                          </w:p>
                        </w:txbxContent>
                      </wps:txbx>
                      <wps:bodyPr vert="horz" wrap="square" anchor="t" anchorCtr="0" upright="1"/>
                    </wps:wsp>
                  </a:graphicData>
                </a:graphic>
              </wp:anchor>
            </w:drawing>
          </mc:Choice>
          <mc:Fallback>
            <w:pict>
              <v:shape id="椭圆形标注 6" o:spid="_x0000_s1026" o:spt="63" type="#_x0000_t63" style="position:absolute;left:0pt;margin-left:214.8pt;margin-top:77.25pt;height:32.7pt;width:135.8pt;z-index:251661312;mso-width-relative:page;mso-height-relative:page;" filled="f" stroked="t" coordsize="21600,21600" o:gfxdata="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tERt22gAAAAsBAAAPAAAAAAAAAAEAIAAAACIAAABkcnMvZG93bnJldi54bWxQSwECFAAU&#10;AAAACACHTuJAG6aPAmECAACsBAAADgAAAAAAAAABACAAAAApAQAAZHJzL2Uyb0RvYy54bWxQSwUG&#10;AAAAAAYABgBZAQAA/AUAAAAA&#10;" adj="19357,43394">
                <v:fill on="f" focussize="0,0"/>
                <v:stroke color="#000000" joinstyle="miter"/>
                <v:imagedata o:title=""/>
                <o:lock v:ext="edit" aspectratio="f"/>
                <v:textbox>
                  <w:txbxContent>
                    <w:p w14:paraId="7958E14F">
                      <w:pPr>
                        <w:jc w:val="center"/>
                        <w:rPr>
                          <w:b/>
                          <w:sz w:val="18"/>
                          <w:szCs w:val="18"/>
                        </w:rPr>
                      </w:pPr>
                      <w:r>
                        <w:rPr>
                          <w:rFonts w:hint="eastAsia"/>
                          <w:b/>
                          <w:sz w:val="18"/>
                          <w:szCs w:val="18"/>
                        </w:rPr>
                        <w:t>本项目地理位置</w:t>
                      </w:r>
                    </w:p>
                  </w:txbxContent>
                </v:textbox>
              </v:shape>
            </w:pict>
          </mc:Fallback>
        </mc:AlternateContent>
      </w:r>
      <w:r>
        <w:rPr>
          <w:rFonts w:hint="eastAsia" w:ascii="宋体" w:hAnsi="宋体" w:cs="宋体"/>
        </w:rPr>
        <mc:AlternateContent>
          <mc:Choice Requires="wps">
            <w:drawing>
              <wp:anchor distT="0" distB="0" distL="114300" distR="114300" simplePos="0" relativeHeight="251660288" behindDoc="0" locked="0" layoutInCell="1" allowOverlap="1">
                <wp:simplePos x="0" y="0"/>
                <wp:positionH relativeFrom="column">
                  <wp:posOffset>4246880</wp:posOffset>
                </wp:positionH>
                <wp:positionV relativeFrom="paragraph">
                  <wp:posOffset>1794510</wp:posOffset>
                </wp:positionV>
                <wp:extent cx="128905" cy="105410"/>
                <wp:effectExtent l="16510" t="13335" r="26035" b="14605"/>
                <wp:wrapNone/>
                <wp:docPr id="42" name="五角星 5"/>
                <wp:cNvGraphicFramePr/>
                <a:graphic xmlns:a="http://schemas.openxmlformats.org/drawingml/2006/main">
                  <a:graphicData uri="http://schemas.microsoft.com/office/word/2010/wordprocessingShape">
                    <wps:wsp>
                      <wps:cNvSpPr/>
                      <wps:spPr>
                        <a:xfrm>
                          <a:off x="0" y="0"/>
                          <a:ext cx="128905" cy="105410"/>
                        </a:xfrm>
                        <a:prstGeom prst="star5">
                          <a:avLst/>
                        </a:prstGeom>
                        <a:noFill/>
                        <a:ln w="9525" cap="flat" cmpd="sng">
                          <a:solidFill>
                            <a:srgbClr val="000000"/>
                          </a:solidFill>
                          <a:prstDash val="solid"/>
                          <a:miter/>
                          <a:headEnd type="none" w="med" len="med"/>
                          <a:tailEnd type="none" w="med" len="med"/>
                        </a:ln>
                        <a:effectLst/>
                      </wps:spPr>
                      <wps:bodyPr wrap="square" upright="1"/>
                    </wps:wsp>
                  </a:graphicData>
                </a:graphic>
              </wp:anchor>
            </w:drawing>
          </mc:Choice>
          <mc:Fallback>
            <w:pict>
              <v:shape id="五角星 5" o:spid="_x0000_s1026" style="position:absolute;left:0pt;margin-left:334.4pt;margin-top:141.3pt;height:8.3pt;width:10.15pt;z-index:251660288;mso-width-relative:page;mso-height-relative:page;" filled="f" stroked="t" coordsize="128905,105410" o:gfxdata="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88U/XYAAAACwEAAA8AAAAAAAAAAQAgAAAA&#10;IgAAAGRycy9kb3ducmV2LnhtbFBLAQIUABQAAAAIAIdO4kD0GcXmCwIAABUEAAAOAAAAAAAAAAEA&#10;IAAAACcBAABkcnMvZTJvRG9jLnhtbFBLBQYAAAAABgAGAFkBAACkBQAAAAA=&#10;" path="m0,40262l49237,40263,64452,0,79667,40263,128904,40262,89070,65146,104286,105409,64452,80525,24618,105409,39834,65146xe">
                <v:path o:connectlocs="64452,0;0,40262;24618,105409;104286,105409;128904,40262" o:connectangles="247,164,82,82,0"/>
                <v:fill on="f" focussize="0,0"/>
                <v:stroke color="#000000" joinstyle="miter"/>
                <v:imagedata o:title=""/>
                <o:lock v:ext="edit" aspectratio="f"/>
              </v:shape>
            </w:pict>
          </mc:Fallback>
        </mc:AlternateContent>
      </w:r>
      <w:r>
        <w:rPr>
          <w:rFonts w:hint="eastAsia" w:ascii="宋体" w:hAnsi="宋体" w:cs="宋体"/>
        </w:rPr>
        <w:drawing>
          <wp:inline distT="0" distB="0" distL="114300" distR="114300">
            <wp:extent cx="8788400" cy="4878070"/>
            <wp:effectExtent l="47625" t="47625" r="60325" b="65405"/>
            <wp:docPr id="74"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30"/>
                    <pic:cNvPicPr>
                      <a:picLocks noChangeAspect="1"/>
                    </pic:cNvPicPr>
                  </pic:nvPicPr>
                  <pic:blipFill>
                    <a:blip r:embed="rId11"/>
                    <a:srcRect l="17372" t="6795" r="17372" b="7307"/>
                    <a:stretch>
                      <a:fillRect/>
                    </a:stretch>
                  </pic:blipFill>
                  <pic:spPr>
                    <a:xfrm>
                      <a:off x="0" y="0"/>
                      <a:ext cx="8788400" cy="4878070"/>
                    </a:xfrm>
                    <a:prstGeom prst="rect">
                      <a:avLst/>
                    </a:prstGeom>
                    <a:noFill/>
                    <a:ln w="47625" cap="flat" cmpd="thickThin">
                      <a:solidFill>
                        <a:srgbClr val="000000"/>
                      </a:solidFill>
                      <a:prstDash val="solid"/>
                      <a:miter/>
                      <a:headEnd type="none" w="med" len="med"/>
                      <a:tailEnd type="none" w="med" len="med"/>
                    </a:ln>
                  </pic:spPr>
                </pic:pic>
              </a:graphicData>
            </a:graphic>
          </wp:inline>
        </w:drawing>
      </w:r>
      <w:r>
        <w:rPr>
          <w:rFonts w:hint="eastAsia" w:ascii="宋体" w:hAnsi="宋体" w:eastAsia="宋体" w:cs="宋体"/>
          <w:b/>
          <w:bCs/>
          <w:color w:val="000000"/>
          <w:kern w:val="0"/>
          <w:sz w:val="24"/>
          <w:szCs w:val="24"/>
          <w:lang w:val="en-US" w:eastAsia="zh-CN" w:bidi="ar"/>
        </w:rPr>
        <w:t>图3.1-1</w:t>
      </w:r>
      <w:r>
        <w:rPr>
          <w:rFonts w:hint="eastAsia" w:ascii="宋体" w:hAnsi="宋体" w:cs="宋体"/>
          <w:b/>
          <w:bCs/>
          <w:color w:val="000000"/>
          <w:kern w:val="0"/>
          <w:sz w:val="24"/>
          <w:szCs w:val="24"/>
          <w:lang w:val="en-US" w:eastAsia="zh-CN" w:bidi="ar"/>
        </w:rPr>
        <w:t xml:space="preserve">  </w:t>
      </w:r>
      <w:r>
        <w:rPr>
          <w:rFonts w:hint="eastAsia" w:ascii="宋体" w:hAnsi="宋体" w:eastAsia="宋体" w:cs="宋体"/>
          <w:b/>
          <w:bCs/>
          <w:color w:val="000000"/>
          <w:kern w:val="0"/>
          <w:sz w:val="24"/>
          <w:szCs w:val="24"/>
          <w:lang w:val="en-US" w:eastAsia="zh-CN" w:bidi="ar"/>
        </w:rPr>
        <w:t>项目地理位置图</w:t>
      </w:r>
    </w:p>
    <w:p w14:paraId="0764F9C8">
      <w:pPr>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br w:type="page"/>
      </w:r>
    </w:p>
    <w:p w14:paraId="41BB2A26">
      <w:pPr>
        <w:keepNext w:val="0"/>
        <w:keepLines w:val="0"/>
        <w:widowControl/>
        <w:suppressLineNumbers w:val="0"/>
        <w:jc w:val="left"/>
      </w:pPr>
      <w:r>
        <w:drawing>
          <wp:inline distT="0" distB="0" distL="114300" distR="114300">
            <wp:extent cx="8754745" cy="4794250"/>
            <wp:effectExtent l="47625" t="47625" r="55880" b="539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8754745" cy="4794250"/>
                    </a:xfrm>
                    <a:prstGeom prst="rect">
                      <a:avLst/>
                    </a:prstGeom>
                    <a:noFill/>
                    <a:ln w="47625" cmpd="thickThin">
                      <a:solidFill>
                        <a:schemeClr val="tx1"/>
                      </a:solidFill>
                      <a:prstDash val="solid"/>
                    </a:ln>
                  </pic:spPr>
                </pic:pic>
              </a:graphicData>
            </a:graphic>
          </wp:inline>
        </w:drawing>
      </w:r>
    </w:p>
    <w:p w14:paraId="0C799345">
      <w:pPr>
        <w:keepNext w:val="0"/>
        <w:keepLines w:val="0"/>
        <w:widowControl/>
        <w:suppressLineNumbers w:val="0"/>
        <w:jc w:val="center"/>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图3.1-2</w:t>
      </w:r>
      <w:r>
        <w:rPr>
          <w:rFonts w:hint="eastAsia" w:ascii="宋体" w:hAnsi="宋体" w:cs="宋体"/>
          <w:b/>
          <w:bCs/>
          <w:color w:val="000000"/>
          <w:kern w:val="0"/>
          <w:sz w:val="24"/>
          <w:szCs w:val="24"/>
          <w:lang w:val="en-US" w:eastAsia="zh-CN" w:bidi="ar"/>
        </w:rPr>
        <w:t xml:space="preserve">  </w:t>
      </w:r>
      <w:r>
        <w:rPr>
          <w:rFonts w:hint="eastAsia" w:ascii="宋体" w:hAnsi="宋体" w:eastAsia="宋体" w:cs="宋体"/>
          <w:b/>
          <w:bCs/>
          <w:color w:val="000000"/>
          <w:kern w:val="0"/>
          <w:sz w:val="24"/>
          <w:szCs w:val="24"/>
          <w:lang w:val="en-US" w:eastAsia="zh-CN" w:bidi="ar"/>
        </w:rPr>
        <w:t>环境保护目标示意图</w:t>
      </w:r>
    </w:p>
    <w:p w14:paraId="727C854C">
      <w:pPr>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br w:type="page"/>
      </w:r>
    </w:p>
    <w:p w14:paraId="17EDAE03">
      <w:pPr>
        <w:keepNext w:val="0"/>
        <w:keepLines w:val="0"/>
        <w:widowControl/>
        <w:suppressLineNumbers w:val="0"/>
        <w:jc w:val="center"/>
        <w:rPr>
          <w:rFonts w:hint="eastAsia" w:ascii="宋体" w:hAnsi="宋体" w:eastAsia="宋体" w:cs="宋体"/>
          <w:b/>
          <w:bCs/>
          <w:color w:val="000000"/>
          <w:kern w:val="0"/>
          <w:sz w:val="24"/>
          <w:szCs w:val="24"/>
          <w:lang w:val="en-US" w:eastAsia="zh-CN" w:bidi="ar"/>
        </w:rPr>
        <w:sectPr>
          <w:pgSz w:w="16838" w:h="11906" w:orient="landscape"/>
          <w:pgMar w:top="1800" w:right="1440" w:bottom="1800" w:left="1440" w:header="1191" w:footer="992" w:gutter="0"/>
          <w:pgBorders w:offsetFrom="page">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8809355" cy="4638675"/>
            <wp:effectExtent l="47625" t="47625" r="58420" b="5715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3"/>
                    <a:stretch>
                      <a:fillRect/>
                    </a:stretch>
                  </pic:blipFill>
                  <pic:spPr>
                    <a:xfrm>
                      <a:off x="0" y="0"/>
                      <a:ext cx="8809355" cy="4638675"/>
                    </a:xfrm>
                    <a:prstGeom prst="rect">
                      <a:avLst/>
                    </a:prstGeom>
                    <a:noFill/>
                    <a:ln w="47625" cmpd="thickThin">
                      <a:solidFill>
                        <a:schemeClr val="tx1"/>
                      </a:solidFill>
                      <a:prstDash val="solid"/>
                    </a:ln>
                  </pic:spPr>
                </pic:pic>
              </a:graphicData>
            </a:graphic>
          </wp:inline>
        </w:drawing>
      </w:r>
      <w:r>
        <w:rPr>
          <w:rFonts w:hint="eastAsia" w:ascii="宋体" w:hAnsi="宋体" w:eastAsia="宋体" w:cs="宋体"/>
          <w:b/>
          <w:bCs/>
          <w:color w:val="000000"/>
          <w:kern w:val="0"/>
          <w:sz w:val="24"/>
          <w:szCs w:val="24"/>
          <w:lang w:val="en-US" w:eastAsia="zh-CN" w:bidi="ar"/>
        </w:rPr>
        <w:t>图3.1-3项目平面布置图</w:t>
      </w:r>
    </w:p>
    <w:p w14:paraId="49FB0266">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1"/>
        <w:rPr>
          <w:sz w:val="28"/>
          <w:szCs w:val="28"/>
        </w:rPr>
      </w:pPr>
      <w:bookmarkStart w:id="13" w:name="_Toc23940"/>
      <w:r>
        <w:rPr>
          <w:rFonts w:hint="eastAsia" w:ascii="宋体" w:hAnsi="宋体" w:eastAsia="宋体" w:cs="宋体"/>
          <w:b/>
          <w:bCs/>
          <w:color w:val="000000"/>
          <w:kern w:val="0"/>
          <w:sz w:val="28"/>
          <w:szCs w:val="28"/>
          <w:lang w:val="en-US" w:eastAsia="zh-CN" w:bidi="ar"/>
        </w:rPr>
        <w:t>3.2</w:t>
      </w:r>
      <w:r>
        <w:rPr>
          <w:rFonts w:hint="eastAsia" w:ascii="宋体" w:hAnsi="宋体" w:cs="宋体"/>
          <w:b/>
          <w:bCs/>
          <w:color w:val="000000"/>
          <w:kern w:val="0"/>
          <w:sz w:val="28"/>
          <w:szCs w:val="28"/>
          <w:lang w:val="en-US" w:eastAsia="zh-CN" w:bidi="ar"/>
        </w:rPr>
        <w:t xml:space="preserve">  </w:t>
      </w:r>
      <w:r>
        <w:rPr>
          <w:rFonts w:hint="eastAsia" w:ascii="宋体" w:hAnsi="宋体" w:eastAsia="宋体" w:cs="宋体"/>
          <w:b/>
          <w:bCs/>
          <w:color w:val="000000"/>
          <w:kern w:val="0"/>
          <w:sz w:val="28"/>
          <w:szCs w:val="28"/>
          <w:lang w:val="en-US" w:eastAsia="zh-CN" w:bidi="ar"/>
        </w:rPr>
        <w:t>建设内容</w:t>
      </w:r>
      <w:bookmarkEnd w:id="13"/>
    </w:p>
    <w:p w14:paraId="5AD8338F">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2"/>
      </w:pPr>
      <w:bookmarkStart w:id="14" w:name="_Toc15035"/>
      <w:r>
        <w:rPr>
          <w:rFonts w:hint="eastAsia" w:ascii="宋体" w:hAnsi="宋体" w:eastAsia="宋体" w:cs="宋体"/>
          <w:b/>
          <w:bCs/>
          <w:color w:val="000000"/>
          <w:kern w:val="0"/>
          <w:sz w:val="24"/>
          <w:szCs w:val="24"/>
          <w:lang w:val="en-US" w:eastAsia="zh-CN" w:bidi="ar"/>
        </w:rPr>
        <w:t>3.2.1</w:t>
      </w:r>
      <w:r>
        <w:rPr>
          <w:rFonts w:hint="eastAsia" w:ascii="宋体" w:hAnsi="宋体" w:cs="宋体"/>
          <w:b/>
          <w:bCs/>
          <w:color w:val="000000"/>
          <w:kern w:val="0"/>
          <w:sz w:val="24"/>
          <w:szCs w:val="24"/>
          <w:lang w:val="en-US" w:eastAsia="zh-CN" w:bidi="ar"/>
        </w:rPr>
        <w:t xml:space="preserve">  </w:t>
      </w:r>
      <w:r>
        <w:rPr>
          <w:rFonts w:hint="eastAsia" w:ascii="宋体" w:hAnsi="宋体" w:eastAsia="宋体" w:cs="宋体"/>
          <w:b/>
          <w:bCs/>
          <w:color w:val="000000"/>
          <w:kern w:val="0"/>
          <w:sz w:val="24"/>
          <w:szCs w:val="24"/>
          <w:lang w:val="en-US" w:eastAsia="zh-CN" w:bidi="ar"/>
        </w:rPr>
        <w:t>基本情况</w:t>
      </w:r>
      <w:bookmarkEnd w:id="14"/>
    </w:p>
    <w:p w14:paraId="697C153B">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auto"/>
        <w:rPr>
          <w:sz w:val="24"/>
          <w:szCs w:val="24"/>
        </w:rPr>
      </w:pPr>
      <w:r>
        <w:rPr>
          <w:rFonts w:hint="eastAsia" w:ascii="宋体" w:hAnsi="宋体" w:eastAsia="宋体" w:cs="宋体"/>
          <w:color w:val="000000"/>
          <w:kern w:val="0"/>
          <w:sz w:val="24"/>
          <w:szCs w:val="24"/>
          <w:lang w:val="en-US" w:eastAsia="zh-CN" w:bidi="ar"/>
        </w:rPr>
        <w:t>项目名称：和县经济开发区污水处理厂及配套管网工程项目一期二阶段</w:t>
      </w:r>
      <w:r>
        <w:rPr>
          <w:rFonts w:hint="eastAsia" w:ascii="宋体" w:hAnsi="宋体" w:cs="宋体"/>
          <w:color w:val="000000"/>
          <w:kern w:val="0"/>
          <w:sz w:val="24"/>
          <w:szCs w:val="24"/>
          <w:lang w:val="en-US" w:eastAsia="zh-CN" w:bidi="ar"/>
        </w:rPr>
        <w:t>项目</w:t>
      </w:r>
      <w:r>
        <w:rPr>
          <w:rFonts w:hint="eastAsia" w:ascii="宋体" w:hAnsi="宋体" w:eastAsia="宋体" w:cs="宋体"/>
          <w:color w:val="000000"/>
          <w:kern w:val="0"/>
          <w:sz w:val="24"/>
          <w:szCs w:val="24"/>
          <w:lang w:val="en-US" w:eastAsia="zh-CN" w:bidi="ar"/>
        </w:rPr>
        <w:t>；</w:t>
      </w:r>
    </w:p>
    <w:p w14:paraId="52EC2656">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auto"/>
        <w:rPr>
          <w:sz w:val="24"/>
          <w:szCs w:val="24"/>
        </w:rPr>
      </w:pPr>
      <w:r>
        <w:rPr>
          <w:rFonts w:hint="eastAsia" w:ascii="宋体" w:hAnsi="宋体" w:eastAsia="宋体" w:cs="宋体"/>
          <w:color w:val="000000"/>
          <w:kern w:val="0"/>
          <w:sz w:val="24"/>
          <w:szCs w:val="24"/>
          <w:lang w:val="en-US" w:eastAsia="zh-CN" w:bidi="ar"/>
        </w:rPr>
        <w:t>建设单位：和县三峡水环境综合治理有限责任公司；</w:t>
      </w:r>
    </w:p>
    <w:p w14:paraId="6AEEB5BA">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auto"/>
        <w:rPr>
          <w:sz w:val="24"/>
          <w:szCs w:val="24"/>
        </w:rPr>
      </w:pPr>
      <w:r>
        <w:rPr>
          <w:rFonts w:hint="eastAsia" w:ascii="宋体" w:hAnsi="宋体" w:eastAsia="宋体" w:cs="宋体"/>
          <w:color w:val="000000"/>
          <w:kern w:val="0"/>
          <w:sz w:val="24"/>
          <w:szCs w:val="24"/>
          <w:lang w:val="en-US" w:eastAsia="zh-CN" w:bidi="ar"/>
        </w:rPr>
        <w:t>行业类别：污水处理及其再生利用[D4620]；</w:t>
      </w:r>
    </w:p>
    <w:p w14:paraId="3902819D">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auto"/>
        <w:rPr>
          <w:sz w:val="24"/>
          <w:szCs w:val="24"/>
        </w:rPr>
      </w:pPr>
      <w:r>
        <w:rPr>
          <w:rFonts w:hint="eastAsia" w:ascii="宋体" w:hAnsi="宋体" w:eastAsia="宋体" w:cs="宋体"/>
          <w:color w:val="000000"/>
          <w:kern w:val="0"/>
          <w:sz w:val="24"/>
          <w:szCs w:val="24"/>
          <w:lang w:val="en-US" w:eastAsia="zh-CN" w:bidi="ar"/>
        </w:rPr>
        <w:t>项目性质：新建；</w:t>
      </w:r>
    </w:p>
    <w:p w14:paraId="4A29FEED">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auto"/>
        <w:rPr>
          <w:sz w:val="24"/>
          <w:szCs w:val="24"/>
        </w:rPr>
      </w:pPr>
      <w:r>
        <w:rPr>
          <w:rFonts w:hint="eastAsia" w:ascii="宋体" w:hAnsi="宋体" w:eastAsia="宋体" w:cs="宋体"/>
          <w:color w:val="000000"/>
          <w:kern w:val="0"/>
          <w:sz w:val="24"/>
          <w:szCs w:val="24"/>
          <w:lang w:val="en-US" w:eastAsia="zh-CN" w:bidi="ar"/>
        </w:rPr>
        <w:t>项目地点：项目位于和县经济开发区规划纬二路与经三路交口西北角，具体位置见图3.1-1；</w:t>
      </w:r>
    </w:p>
    <w:p w14:paraId="7AC13757">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auto"/>
        <w:rPr>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建设规模：一期二阶段工程为新建项目，污水处理规模为5000m</w:t>
      </w:r>
      <w:r>
        <w:rPr>
          <w:rFonts w:hint="eastAsia" w:ascii="宋体" w:hAnsi="宋体" w:eastAsia="宋体" w:cs="宋体"/>
          <w:color w:val="000000" w:themeColor="text1"/>
          <w:kern w:val="0"/>
          <w:sz w:val="24"/>
          <w:szCs w:val="24"/>
          <w:vertAlign w:val="superscript"/>
          <w:lang w:val="en-US" w:eastAsia="zh-CN" w:bidi="ar"/>
          <w14:textFill>
            <w14:solidFill>
              <w14:schemeClr w14:val="tx1"/>
            </w14:solidFill>
          </w14:textFill>
        </w:rPr>
        <w:t>3</w:t>
      </w:r>
      <w:r>
        <w:rPr>
          <w:rFonts w:hint="eastAsia" w:ascii="宋体" w:hAnsi="宋体" w:eastAsia="宋体" w:cs="宋体"/>
          <w:color w:val="000000" w:themeColor="text1"/>
          <w:kern w:val="0"/>
          <w:sz w:val="24"/>
          <w:szCs w:val="24"/>
          <w:lang w:val="en-US" w:eastAsia="zh-CN" w:bidi="ar"/>
          <w14:textFill>
            <w14:solidFill>
              <w14:schemeClr w14:val="tx1"/>
            </w14:solidFill>
          </w14:textFill>
        </w:rPr>
        <w:t>/d，项目采取“粗格栅+进水泵房+细格栅+曝气沉砂池+水解酸化池+改良AAO氧化沟+二沉池</w:t>
      </w:r>
      <w:r>
        <w:rPr>
          <w:rFonts w:hint="eastAsia" w:ascii="宋体" w:hAnsi="宋体" w:cs="宋体"/>
          <w:color w:val="000000" w:themeColor="text1"/>
          <w:kern w:val="0"/>
          <w:sz w:val="24"/>
          <w:szCs w:val="24"/>
          <w:lang w:val="en-US" w:eastAsia="zh-CN" w:bidi="ar"/>
          <w14:textFill>
            <w14:solidFill>
              <w14:schemeClr w14:val="tx1"/>
            </w14:solidFill>
          </w14:textFill>
        </w:rPr>
        <w:t>+磁混凝除氟沉淀系统</w:t>
      </w:r>
      <w:r>
        <w:rPr>
          <w:rFonts w:hint="eastAsia" w:ascii="宋体" w:hAnsi="宋体" w:eastAsia="宋体" w:cs="宋体"/>
          <w:color w:val="000000" w:themeColor="text1"/>
          <w:kern w:val="0"/>
          <w:sz w:val="24"/>
          <w:szCs w:val="24"/>
          <w:lang w:val="en-US" w:eastAsia="zh-CN" w:bidi="ar"/>
          <w14:textFill>
            <w14:solidFill>
              <w14:schemeClr w14:val="tx1"/>
            </w14:solidFill>
          </w14:textFill>
        </w:rPr>
        <w:t>+高效沉淀池+反硝化深床滤池+次氯酸钠消毒”处理工艺，尾水外排至双桥河，出水水质执行《城镇污水处理厂污染物排放标准》（GB18918-2002）中的一级A标准；</w:t>
      </w:r>
    </w:p>
    <w:p w14:paraId="1FD6E12E">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auto"/>
        <w:rPr>
          <w:sz w:val="24"/>
          <w:szCs w:val="24"/>
        </w:rPr>
      </w:pPr>
      <w:r>
        <w:rPr>
          <w:rFonts w:hint="eastAsia" w:ascii="宋体" w:hAnsi="宋体" w:eastAsia="宋体" w:cs="宋体"/>
          <w:color w:val="000000"/>
          <w:kern w:val="0"/>
          <w:sz w:val="24"/>
          <w:szCs w:val="24"/>
          <w:lang w:val="en-US" w:eastAsia="zh-CN" w:bidi="ar"/>
        </w:rPr>
        <w:t>项目投资：</w:t>
      </w:r>
      <w:r>
        <w:rPr>
          <w:rFonts w:hint="eastAsia" w:ascii="宋体" w:hAnsi="宋体" w:cs="宋体"/>
          <w:color w:val="000000"/>
          <w:kern w:val="0"/>
          <w:sz w:val="24"/>
          <w:szCs w:val="24"/>
          <w:lang w:val="en-US" w:eastAsia="zh-CN" w:bidi="ar"/>
        </w:rPr>
        <w:t>一期二阶段项目</w:t>
      </w:r>
      <w:r>
        <w:rPr>
          <w:rFonts w:hint="eastAsia" w:ascii="宋体" w:hAnsi="宋体" w:eastAsia="宋体" w:cs="宋体"/>
          <w:color w:val="000000"/>
          <w:kern w:val="0"/>
          <w:sz w:val="24"/>
          <w:szCs w:val="24"/>
          <w:lang w:val="en-US" w:eastAsia="zh-CN" w:bidi="ar"/>
        </w:rPr>
        <w:t>总投资</w:t>
      </w:r>
      <w:r>
        <w:rPr>
          <w:rFonts w:hint="eastAsia" w:ascii="宋体" w:hAnsi="宋体" w:cs="宋体"/>
          <w:color w:val="000000"/>
          <w:kern w:val="0"/>
          <w:sz w:val="24"/>
          <w:szCs w:val="24"/>
          <w:lang w:val="en-US" w:eastAsia="zh-CN" w:bidi="ar"/>
        </w:rPr>
        <w:t>2712.32</w:t>
      </w:r>
      <w:r>
        <w:rPr>
          <w:rFonts w:hint="eastAsia" w:ascii="宋体" w:hAnsi="宋体" w:eastAsia="宋体" w:cs="宋体"/>
          <w:color w:val="000000"/>
          <w:kern w:val="0"/>
          <w:sz w:val="24"/>
          <w:szCs w:val="24"/>
          <w:lang w:val="en-US" w:eastAsia="zh-CN" w:bidi="ar"/>
        </w:rPr>
        <w:t>，其中环保投资</w:t>
      </w:r>
      <w:r>
        <w:rPr>
          <w:rFonts w:hint="eastAsia" w:ascii="宋体" w:hAnsi="宋体" w:cs="宋体"/>
          <w:color w:val="000000"/>
          <w:kern w:val="0"/>
          <w:sz w:val="24"/>
          <w:szCs w:val="24"/>
          <w:lang w:val="en-US" w:eastAsia="zh-CN" w:bidi="ar"/>
        </w:rPr>
        <w:t>2712.32</w:t>
      </w:r>
      <w:r>
        <w:rPr>
          <w:rFonts w:hint="eastAsia" w:ascii="宋体" w:hAnsi="宋体" w:eastAsia="宋体" w:cs="宋体"/>
          <w:color w:val="000000"/>
          <w:kern w:val="0"/>
          <w:sz w:val="24"/>
          <w:szCs w:val="24"/>
          <w:lang w:val="en-US" w:eastAsia="zh-CN" w:bidi="ar"/>
        </w:rPr>
        <w:t>万元，占总投资的100%；</w:t>
      </w:r>
    </w:p>
    <w:p w14:paraId="48E2A527">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auto"/>
        <w:rPr>
          <w:color w:val="000000" w:themeColor="text1"/>
          <w:sz w:val="24"/>
          <w:szCs w:val="24"/>
          <w14:textFill>
            <w14:solidFill>
              <w14:schemeClr w14:val="tx1"/>
            </w14:solidFill>
          </w14:textFill>
        </w:rPr>
      </w:pPr>
      <w:r>
        <w:rPr>
          <w:rFonts w:hint="eastAsia" w:ascii="宋体" w:hAnsi="宋体" w:eastAsia="宋体" w:cs="宋体"/>
          <w:color w:val="000000"/>
          <w:kern w:val="0"/>
          <w:sz w:val="24"/>
          <w:szCs w:val="24"/>
          <w:lang w:val="en-US" w:eastAsia="zh-CN" w:bidi="ar"/>
        </w:rPr>
        <w:t>排口设置：依托现有</w:t>
      </w:r>
      <w:r>
        <w:rPr>
          <w:rFonts w:hint="eastAsia" w:ascii="宋体" w:hAnsi="宋体" w:cs="宋体"/>
          <w:color w:val="000000"/>
          <w:kern w:val="0"/>
          <w:sz w:val="24"/>
          <w:szCs w:val="24"/>
          <w:lang w:val="en-US" w:eastAsia="zh-CN" w:bidi="ar"/>
        </w:rPr>
        <w:t>一期一阶段</w:t>
      </w:r>
      <w:r>
        <w:rPr>
          <w:rFonts w:hint="eastAsia" w:ascii="宋体" w:hAnsi="宋体" w:eastAsia="宋体" w:cs="宋体"/>
          <w:color w:val="000000"/>
          <w:kern w:val="0"/>
          <w:sz w:val="24"/>
          <w:szCs w:val="24"/>
          <w:lang w:val="en-US" w:eastAsia="zh-CN" w:bidi="ar"/>
        </w:rPr>
        <w:t>排污口。污水处理厂入河排污口位置坐标为</w:t>
      </w:r>
      <w:r>
        <w:rPr>
          <w:rFonts w:hint="eastAsia" w:ascii="宋体" w:hAnsi="宋体" w:eastAsia="宋体" w:cs="宋体"/>
          <w:color w:val="000000" w:themeColor="text1"/>
          <w:kern w:val="0"/>
          <w:sz w:val="24"/>
          <w:szCs w:val="24"/>
          <w:lang w:val="en-US" w:eastAsia="zh-CN" w:bidi="ar"/>
          <w14:textFill>
            <w14:solidFill>
              <w14:schemeClr w14:val="tx1"/>
            </w14:solidFill>
          </w14:textFill>
        </w:rPr>
        <w:t>E118°22′52″，N31°46′4″；</w:t>
      </w:r>
    </w:p>
    <w:p w14:paraId="6597C2F6">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rPr>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开工时间：202</w:t>
      </w:r>
      <w:r>
        <w:rPr>
          <w:rFonts w:hint="eastAsia" w:ascii="宋体" w:hAnsi="宋体" w:cs="宋体"/>
          <w:color w:val="000000" w:themeColor="text1"/>
          <w:kern w:val="0"/>
          <w:sz w:val="24"/>
          <w:szCs w:val="24"/>
          <w:lang w:val="en-US" w:eastAsia="zh-CN" w:bidi="ar"/>
          <w14:textFill>
            <w14:solidFill>
              <w14:schemeClr w14:val="tx1"/>
            </w14:solidFill>
          </w14:textFill>
        </w:rPr>
        <w:t>2</w:t>
      </w:r>
      <w:r>
        <w:rPr>
          <w:rFonts w:hint="eastAsia" w:ascii="宋体" w:hAnsi="宋体" w:eastAsia="宋体" w:cs="宋体"/>
          <w:color w:val="000000" w:themeColor="text1"/>
          <w:kern w:val="0"/>
          <w:sz w:val="24"/>
          <w:szCs w:val="24"/>
          <w:lang w:val="en-US" w:eastAsia="zh-CN" w:bidi="ar"/>
          <w14:textFill>
            <w14:solidFill>
              <w14:schemeClr w14:val="tx1"/>
            </w14:solidFill>
          </w14:textFill>
        </w:rPr>
        <w:t>年10月</w:t>
      </w:r>
    </w:p>
    <w:p w14:paraId="6948409D">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rPr>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竣工时间：202</w:t>
      </w:r>
      <w:r>
        <w:rPr>
          <w:rFonts w:hint="eastAsia" w:ascii="宋体" w:hAnsi="宋体" w:cs="宋体"/>
          <w:color w:val="000000" w:themeColor="text1"/>
          <w:kern w:val="0"/>
          <w:sz w:val="24"/>
          <w:szCs w:val="24"/>
          <w:lang w:val="en-US" w:eastAsia="zh-CN" w:bidi="ar"/>
          <w14:textFill>
            <w14:solidFill>
              <w14:schemeClr w14:val="tx1"/>
            </w14:solidFill>
          </w14:textFill>
        </w:rPr>
        <w:t>4</w:t>
      </w:r>
      <w:r>
        <w:rPr>
          <w:rFonts w:hint="eastAsia" w:ascii="宋体" w:hAnsi="宋体" w:eastAsia="宋体" w:cs="宋体"/>
          <w:color w:val="000000" w:themeColor="text1"/>
          <w:kern w:val="0"/>
          <w:sz w:val="24"/>
          <w:szCs w:val="24"/>
          <w:lang w:val="en-US" w:eastAsia="zh-CN" w:bidi="ar"/>
          <w14:textFill>
            <w14:solidFill>
              <w14:schemeClr w14:val="tx1"/>
            </w14:solidFill>
          </w14:textFill>
        </w:rPr>
        <w:t>年</w:t>
      </w:r>
      <w:r>
        <w:rPr>
          <w:rFonts w:hint="eastAsia" w:ascii="宋体" w:hAnsi="宋体" w:cs="宋体"/>
          <w:color w:val="000000" w:themeColor="text1"/>
          <w:kern w:val="0"/>
          <w:sz w:val="24"/>
          <w:szCs w:val="24"/>
          <w:lang w:val="en-US" w:eastAsia="zh-CN" w:bidi="ar"/>
          <w14:textFill>
            <w14:solidFill>
              <w14:schemeClr w14:val="tx1"/>
            </w14:solidFill>
          </w14:textFill>
        </w:rPr>
        <w:t>12</w:t>
      </w:r>
      <w:r>
        <w:rPr>
          <w:rFonts w:hint="eastAsia" w:ascii="宋体" w:hAnsi="宋体" w:eastAsia="宋体" w:cs="宋体"/>
          <w:color w:val="000000" w:themeColor="text1"/>
          <w:kern w:val="0"/>
          <w:sz w:val="24"/>
          <w:szCs w:val="24"/>
          <w:lang w:val="en-US" w:eastAsia="zh-CN" w:bidi="ar"/>
          <w14:textFill>
            <w14:solidFill>
              <w14:schemeClr w14:val="tx1"/>
            </w14:solidFill>
          </w14:textFill>
        </w:rPr>
        <w:t>月</w:t>
      </w:r>
    </w:p>
    <w:p w14:paraId="0E98E3F4">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2"/>
        <w:rPr>
          <w:rFonts w:hint="eastAsia" w:ascii="宋体" w:hAnsi="宋体" w:eastAsia="宋体" w:cs="宋体"/>
          <w:b/>
          <w:bCs/>
          <w:color w:val="000000"/>
          <w:kern w:val="0"/>
          <w:sz w:val="24"/>
          <w:szCs w:val="24"/>
          <w:lang w:val="en-US" w:eastAsia="zh-CN" w:bidi="ar"/>
        </w:rPr>
      </w:pPr>
      <w:bookmarkStart w:id="15" w:name="_Toc565"/>
      <w:r>
        <w:rPr>
          <w:rFonts w:hint="eastAsia" w:ascii="宋体" w:hAnsi="宋体" w:eastAsia="宋体" w:cs="宋体"/>
          <w:b/>
          <w:bCs/>
          <w:color w:val="000000"/>
          <w:kern w:val="0"/>
          <w:sz w:val="24"/>
          <w:szCs w:val="24"/>
          <w:lang w:val="en-US" w:eastAsia="zh-CN" w:bidi="ar"/>
        </w:rPr>
        <w:t>3.2.2</w:t>
      </w:r>
      <w:r>
        <w:rPr>
          <w:rFonts w:hint="eastAsia" w:ascii="宋体" w:hAnsi="宋体" w:cs="宋体"/>
          <w:b/>
          <w:bCs/>
          <w:color w:val="000000"/>
          <w:kern w:val="0"/>
          <w:sz w:val="24"/>
          <w:szCs w:val="24"/>
          <w:lang w:val="en-US" w:eastAsia="zh-CN" w:bidi="ar"/>
        </w:rPr>
        <w:t xml:space="preserve">  </w:t>
      </w:r>
      <w:r>
        <w:rPr>
          <w:rFonts w:hint="eastAsia" w:ascii="宋体" w:hAnsi="宋体" w:eastAsia="宋体" w:cs="宋体"/>
          <w:b/>
          <w:bCs/>
          <w:color w:val="000000"/>
          <w:kern w:val="0"/>
          <w:sz w:val="24"/>
          <w:szCs w:val="24"/>
          <w:lang w:val="en-US" w:eastAsia="zh-CN" w:bidi="ar"/>
        </w:rPr>
        <w:t>验收范围与内容</w:t>
      </w:r>
      <w:bookmarkEnd w:id="15"/>
    </w:p>
    <w:p w14:paraId="3C6F1EC8">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本项目验收范围与环评文件评价范围一致，主要包括废气、废水的处理和排放、噪声污染防治措施和固废污染防治措施的建设情况，环保制度、绿化、排污口等辅助措施的落实情况和废水污染物浓度及其总量的达标情况，同时本次也进行了废气验收监测。</w:t>
      </w:r>
    </w:p>
    <w:p w14:paraId="6462A527">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本次将针对以上基本内容及其环境影响报告和审批意见中规定的各项环保措施、设施和要求，环境管理和环境监测等要求的落实情况，项目涉及的污染物排放达标情况开展验收工作。</w:t>
      </w:r>
    </w:p>
    <w:p w14:paraId="1451FE80">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2"/>
        <w:rPr>
          <w:rFonts w:hint="eastAsia" w:ascii="宋体" w:hAnsi="宋体" w:eastAsia="宋体" w:cs="宋体"/>
          <w:b/>
          <w:bCs/>
          <w:color w:val="000000"/>
          <w:kern w:val="0"/>
          <w:sz w:val="24"/>
          <w:szCs w:val="24"/>
          <w:lang w:val="en-US" w:eastAsia="zh-CN" w:bidi="ar"/>
        </w:rPr>
      </w:pPr>
      <w:bookmarkStart w:id="16" w:name="_Toc985"/>
      <w:r>
        <w:rPr>
          <w:rFonts w:hint="eastAsia" w:ascii="宋体" w:hAnsi="宋体" w:eastAsia="宋体" w:cs="宋体"/>
          <w:b/>
          <w:bCs/>
          <w:color w:val="000000"/>
          <w:kern w:val="0"/>
          <w:sz w:val="24"/>
          <w:szCs w:val="24"/>
          <w:lang w:val="en-US" w:eastAsia="zh-CN" w:bidi="ar"/>
        </w:rPr>
        <w:t>3.2.3</w:t>
      </w:r>
      <w:r>
        <w:rPr>
          <w:rFonts w:hint="eastAsia" w:ascii="宋体" w:hAnsi="宋体" w:cs="宋体"/>
          <w:b/>
          <w:bCs/>
          <w:color w:val="000000"/>
          <w:kern w:val="0"/>
          <w:sz w:val="24"/>
          <w:szCs w:val="24"/>
          <w:lang w:val="en-US" w:eastAsia="zh-CN" w:bidi="ar"/>
        </w:rPr>
        <w:t xml:space="preserve">  </w:t>
      </w:r>
      <w:r>
        <w:rPr>
          <w:rFonts w:hint="eastAsia" w:ascii="宋体" w:hAnsi="宋体" w:eastAsia="宋体" w:cs="宋体"/>
          <w:b/>
          <w:bCs/>
          <w:color w:val="000000"/>
          <w:kern w:val="0"/>
          <w:sz w:val="24"/>
          <w:szCs w:val="24"/>
          <w:lang w:val="en-US" w:eastAsia="zh-CN" w:bidi="ar"/>
        </w:rPr>
        <w:t>建设内容</w:t>
      </w:r>
      <w:bookmarkEnd w:id="16"/>
    </w:p>
    <w:p w14:paraId="12F55295">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3"/>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3.2.3.1</w:t>
      </w:r>
      <w:r>
        <w:rPr>
          <w:rFonts w:hint="eastAsia" w:ascii="宋体" w:hAnsi="宋体" w:cs="宋体"/>
          <w:b/>
          <w:bCs/>
          <w:color w:val="000000"/>
          <w:kern w:val="0"/>
          <w:sz w:val="24"/>
          <w:szCs w:val="24"/>
          <w:lang w:val="en-US" w:eastAsia="zh-CN" w:bidi="ar"/>
        </w:rPr>
        <w:t xml:space="preserve">  </w:t>
      </w:r>
      <w:r>
        <w:rPr>
          <w:rFonts w:hint="eastAsia" w:ascii="宋体" w:hAnsi="宋体" w:eastAsia="宋体" w:cs="宋体"/>
          <w:b/>
          <w:bCs/>
          <w:color w:val="000000"/>
          <w:kern w:val="0"/>
          <w:sz w:val="24"/>
          <w:szCs w:val="24"/>
          <w:lang w:val="en-US" w:eastAsia="zh-CN" w:bidi="ar"/>
        </w:rPr>
        <w:t>项目建设内容</w:t>
      </w:r>
    </w:p>
    <w:p w14:paraId="196AB5FE">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0000FF"/>
          <w:kern w:val="0"/>
          <w:sz w:val="24"/>
          <w:szCs w:val="24"/>
          <w:lang w:val="en-US" w:eastAsia="zh-CN" w:bidi="ar"/>
        </w:rPr>
      </w:pPr>
      <w:r>
        <w:rPr>
          <w:rFonts w:hint="eastAsia" w:ascii="宋体" w:hAnsi="宋体" w:eastAsia="宋体" w:cs="宋体"/>
          <w:color w:val="000000"/>
        </w:rPr>
        <w:t>项目环评建设内容与实际建设内容详见表</w:t>
      </w:r>
      <w:r>
        <w:rPr>
          <w:rFonts w:hint="eastAsia" w:ascii="宋体" w:hAnsi="宋体" w:cs="宋体"/>
          <w:color w:val="000000"/>
          <w:lang w:val="en-US" w:eastAsia="zh-CN"/>
        </w:rPr>
        <w:t>3.2-1</w:t>
      </w:r>
      <w:r>
        <w:rPr>
          <w:rFonts w:hint="eastAsia" w:ascii="宋体" w:hAnsi="宋体" w:eastAsia="宋体" w:cs="宋体"/>
          <w:color w:val="000000"/>
        </w:rPr>
        <w:t>。</w:t>
      </w:r>
    </w:p>
    <w:p w14:paraId="1918989A">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0000FF"/>
          <w:kern w:val="0"/>
          <w:sz w:val="24"/>
          <w:szCs w:val="24"/>
          <w:lang w:val="en-US" w:eastAsia="zh-CN" w:bidi="ar"/>
        </w:rPr>
        <w:sectPr>
          <w:pgSz w:w="11906" w:h="16838"/>
          <w:pgMar w:top="1440" w:right="1800" w:bottom="1440" w:left="1800" w:header="850"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p w14:paraId="2DBD2C9C">
      <w:pPr>
        <w:keepNext w:val="0"/>
        <w:keepLines w:val="0"/>
        <w:widowControl/>
        <w:suppressLineNumbers w:val="0"/>
        <w:jc w:val="center"/>
        <w:rPr>
          <w:b/>
          <w:bCs/>
        </w:rPr>
      </w:pPr>
      <w:r>
        <w:rPr>
          <w:rFonts w:hint="eastAsia" w:ascii="宋体" w:hAnsi="宋体" w:eastAsia="宋体" w:cs="宋体"/>
          <w:b/>
          <w:bCs/>
          <w:color w:val="000000"/>
          <w:kern w:val="0"/>
          <w:sz w:val="24"/>
          <w:szCs w:val="24"/>
          <w:lang w:val="en-US" w:eastAsia="zh-CN" w:bidi="ar"/>
        </w:rPr>
        <w:t>表3.2-1</w:t>
      </w:r>
      <w:r>
        <w:rPr>
          <w:rFonts w:hint="eastAsia" w:ascii="宋体" w:hAnsi="宋体" w:cs="宋体"/>
          <w:b/>
          <w:bCs/>
          <w:color w:val="000000"/>
          <w:kern w:val="0"/>
          <w:sz w:val="24"/>
          <w:szCs w:val="24"/>
          <w:lang w:val="en-US" w:eastAsia="zh-CN" w:bidi="ar"/>
        </w:rPr>
        <w:t xml:space="preserve">  </w:t>
      </w:r>
      <w:r>
        <w:rPr>
          <w:rFonts w:hint="eastAsia" w:ascii="宋体" w:hAnsi="宋体" w:eastAsia="宋体" w:cs="宋体"/>
          <w:b/>
          <w:bCs/>
          <w:color w:val="000000"/>
          <w:kern w:val="0"/>
          <w:sz w:val="24"/>
          <w:szCs w:val="24"/>
          <w:lang w:val="en-US" w:eastAsia="zh-CN" w:bidi="ar"/>
        </w:rPr>
        <w:t>第一期二阶段工程建设内容</w:t>
      </w:r>
    </w:p>
    <w:tbl>
      <w:tblPr>
        <w:tblStyle w:val="2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763"/>
        <w:gridCol w:w="1588"/>
        <w:gridCol w:w="4741"/>
        <w:gridCol w:w="1304"/>
        <w:gridCol w:w="4999"/>
      </w:tblGrid>
      <w:tr w14:paraId="3ED00A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36" w:type="pct"/>
            <w:gridSpan w:val="5"/>
            <w:tcBorders>
              <w:tl2br w:val="nil"/>
              <w:tr2bl w:val="nil"/>
            </w:tcBorders>
            <w:vAlign w:val="center"/>
          </w:tcPr>
          <w:p w14:paraId="5F5F986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b/>
                <w:bCs/>
                <w:color w:val="000000" w:themeColor="text1"/>
                <w:kern w:val="0"/>
                <w:sz w:val="21"/>
                <w:szCs w:val="21"/>
                <w:vertAlign w:val="baseline"/>
                <w:lang w:val="en-US" w:eastAsia="zh-CN" w:bidi="ar"/>
                <w14:textFill>
                  <w14:solidFill>
                    <w14:schemeClr w14:val="tx1"/>
                  </w14:solidFill>
                </w14:textFill>
              </w:rPr>
              <w:t>环评阶段</w:t>
            </w:r>
          </w:p>
        </w:tc>
        <w:tc>
          <w:tcPr>
            <w:tcW w:w="1763" w:type="pct"/>
            <w:vMerge w:val="restart"/>
            <w:tcBorders>
              <w:tl2br w:val="nil"/>
              <w:tr2bl w:val="nil"/>
            </w:tcBorders>
            <w:vAlign w:val="center"/>
          </w:tcPr>
          <w:p w14:paraId="2D08515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0000FF"/>
                <w:kern w:val="0"/>
                <w:sz w:val="21"/>
                <w:szCs w:val="21"/>
                <w:vertAlign w:val="baseline"/>
                <w:lang w:val="en-US" w:eastAsia="zh-CN" w:bidi="ar"/>
              </w:rPr>
            </w:pPr>
            <w:r>
              <w:rPr>
                <w:rFonts w:hint="eastAsia" w:ascii="宋体" w:hAnsi="宋体" w:eastAsia="宋体" w:cs="宋体"/>
                <w:b/>
                <w:bCs/>
                <w:color w:val="000000" w:themeColor="text1"/>
                <w:kern w:val="0"/>
                <w:sz w:val="21"/>
                <w:szCs w:val="21"/>
                <w:vertAlign w:val="baseline"/>
                <w:lang w:val="en-US" w:eastAsia="zh-CN" w:bidi="ar"/>
                <w14:textFill>
                  <w14:solidFill>
                    <w14:schemeClr w14:val="tx1"/>
                  </w14:solidFill>
                </w14:textFill>
              </w:rPr>
              <w:t>实际建设情况</w:t>
            </w:r>
          </w:p>
        </w:tc>
      </w:tr>
      <w:tr w14:paraId="6C8548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5" w:type="pct"/>
            <w:tcBorders>
              <w:tl2br w:val="nil"/>
              <w:tr2bl w:val="nil"/>
            </w:tcBorders>
            <w:vAlign w:val="center"/>
          </w:tcPr>
          <w:p w14:paraId="260430B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b/>
                <w:bCs/>
                <w:color w:val="000000" w:themeColor="text1"/>
                <w:kern w:val="0"/>
                <w:sz w:val="21"/>
                <w:szCs w:val="21"/>
                <w:vertAlign w:val="baseline"/>
                <w:lang w:val="en-US" w:eastAsia="zh-CN" w:bidi="ar"/>
                <w14:textFill>
                  <w14:solidFill>
                    <w14:schemeClr w14:val="tx1"/>
                  </w14:solidFill>
                </w14:textFill>
              </w:rPr>
              <w:t>工程类别</w:t>
            </w:r>
          </w:p>
        </w:tc>
        <w:tc>
          <w:tcPr>
            <w:tcW w:w="829" w:type="pct"/>
            <w:gridSpan w:val="2"/>
            <w:tcBorders>
              <w:tl2br w:val="nil"/>
              <w:tr2bl w:val="nil"/>
            </w:tcBorders>
            <w:vAlign w:val="center"/>
          </w:tcPr>
          <w:p w14:paraId="1FBA834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b/>
                <w:bCs/>
                <w:color w:val="000000" w:themeColor="text1"/>
                <w:kern w:val="0"/>
                <w:sz w:val="21"/>
                <w:szCs w:val="21"/>
                <w:vertAlign w:val="baseline"/>
                <w:lang w:val="en-US" w:eastAsia="zh-CN" w:bidi="ar"/>
                <w14:textFill>
                  <w14:solidFill>
                    <w14:schemeClr w14:val="tx1"/>
                  </w14:solidFill>
                </w14:textFill>
              </w:rPr>
              <w:t>单项工程名称</w:t>
            </w:r>
          </w:p>
        </w:tc>
        <w:tc>
          <w:tcPr>
            <w:tcW w:w="1672" w:type="pct"/>
            <w:tcBorders>
              <w:tl2br w:val="nil"/>
              <w:tr2bl w:val="nil"/>
            </w:tcBorders>
            <w:vAlign w:val="center"/>
          </w:tcPr>
          <w:p w14:paraId="2B4CEE8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b/>
                <w:bCs/>
                <w:color w:val="000000" w:themeColor="text1"/>
                <w:kern w:val="0"/>
                <w:sz w:val="21"/>
                <w:szCs w:val="21"/>
                <w:vertAlign w:val="baseline"/>
                <w:lang w:val="en-US" w:eastAsia="zh-CN" w:bidi="ar"/>
                <w14:textFill>
                  <w14:solidFill>
                    <w14:schemeClr w14:val="tx1"/>
                  </w14:solidFill>
                </w14:textFill>
              </w:rPr>
              <w:t>拟建工程一阶段建设内容及规模</w:t>
            </w:r>
          </w:p>
        </w:tc>
        <w:tc>
          <w:tcPr>
            <w:tcW w:w="458" w:type="pct"/>
            <w:tcBorders>
              <w:tl2br w:val="nil"/>
              <w:tr2bl w:val="nil"/>
            </w:tcBorders>
            <w:vAlign w:val="center"/>
          </w:tcPr>
          <w:p w14:paraId="1375DCC4">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b/>
                <w:bCs/>
                <w:color w:val="000000" w:themeColor="text1"/>
                <w:kern w:val="0"/>
                <w:sz w:val="21"/>
                <w:szCs w:val="21"/>
                <w:vertAlign w:val="baseline"/>
                <w:lang w:val="en-US" w:eastAsia="zh-CN" w:bidi="ar"/>
                <w14:textFill>
                  <w14:solidFill>
                    <w14:schemeClr w14:val="tx1"/>
                  </w14:solidFill>
                </w14:textFill>
              </w:rPr>
              <w:t>备注</w:t>
            </w:r>
          </w:p>
        </w:tc>
        <w:tc>
          <w:tcPr>
            <w:tcW w:w="1763" w:type="pct"/>
            <w:vMerge w:val="continue"/>
            <w:tcBorders>
              <w:tl2br w:val="nil"/>
              <w:tr2bl w:val="nil"/>
            </w:tcBorders>
            <w:vAlign w:val="center"/>
          </w:tcPr>
          <w:p w14:paraId="6299F4E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0000FF"/>
                <w:kern w:val="0"/>
                <w:sz w:val="21"/>
                <w:szCs w:val="21"/>
                <w:vertAlign w:val="baseline"/>
                <w:lang w:val="en-US" w:eastAsia="zh-CN" w:bidi="ar"/>
              </w:rPr>
            </w:pPr>
          </w:p>
        </w:tc>
      </w:tr>
      <w:tr w14:paraId="22C711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5" w:type="pct"/>
            <w:vMerge w:val="restart"/>
            <w:tcBorders>
              <w:tl2br w:val="nil"/>
              <w:tr2bl w:val="nil"/>
            </w:tcBorders>
            <w:vAlign w:val="center"/>
          </w:tcPr>
          <w:p w14:paraId="18C2411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主体工程</w:t>
            </w:r>
          </w:p>
        </w:tc>
        <w:tc>
          <w:tcPr>
            <w:tcW w:w="269" w:type="pct"/>
            <w:vMerge w:val="restart"/>
            <w:tcBorders>
              <w:tl2br w:val="nil"/>
              <w:tr2bl w:val="nil"/>
            </w:tcBorders>
            <w:vAlign w:val="center"/>
          </w:tcPr>
          <w:p w14:paraId="48562CE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新建污水处理厂</w:t>
            </w:r>
          </w:p>
        </w:tc>
        <w:tc>
          <w:tcPr>
            <w:tcW w:w="560" w:type="pct"/>
            <w:tcBorders>
              <w:tl2br w:val="nil"/>
              <w:tr2bl w:val="nil"/>
            </w:tcBorders>
            <w:vAlign w:val="center"/>
          </w:tcPr>
          <w:p w14:paraId="5ABEC474">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粗格栅及进水泵房</w:t>
            </w:r>
          </w:p>
        </w:tc>
        <w:tc>
          <w:tcPr>
            <w:tcW w:w="1672" w:type="pct"/>
            <w:tcBorders>
              <w:tl2br w:val="nil"/>
              <w:tr2bl w:val="nil"/>
            </w:tcBorders>
            <w:vAlign w:val="center"/>
          </w:tcPr>
          <w:p w14:paraId="24E65C25">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仅安装设备。主要设备：1台潜水泵、1个柔性管街头、1个止水阀。</w:t>
            </w:r>
          </w:p>
        </w:tc>
        <w:tc>
          <w:tcPr>
            <w:tcW w:w="458" w:type="pct"/>
            <w:tcBorders>
              <w:tl2br w:val="nil"/>
              <w:tr2bl w:val="nil"/>
            </w:tcBorders>
            <w:vAlign w:val="center"/>
          </w:tcPr>
          <w:p w14:paraId="1F0B8386">
            <w:pPr>
              <w:keepNext w:val="0"/>
              <w:keepLines w:val="0"/>
              <w:widowControl/>
              <w:suppressLineNumbers w:val="0"/>
              <w:jc w:val="both"/>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二阶段仅进行设备安装</w:t>
            </w:r>
          </w:p>
        </w:tc>
        <w:tc>
          <w:tcPr>
            <w:tcW w:w="1763" w:type="pct"/>
            <w:tcBorders>
              <w:tl2br w:val="nil"/>
              <w:tr2bl w:val="nil"/>
            </w:tcBorders>
            <w:vAlign w:val="center"/>
          </w:tcPr>
          <w:p w14:paraId="3CC2061B">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FF"/>
                <w:kern w:val="0"/>
                <w:sz w:val="21"/>
                <w:szCs w:val="21"/>
                <w:vertAlign w:val="baseline"/>
                <w:lang w:val="en-US" w:eastAsia="zh-CN" w:bidi="ar"/>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仅安装设备。主要设备：1台潜水泵、1个柔性管街头、1个止水阀。</w:t>
            </w:r>
          </w:p>
        </w:tc>
      </w:tr>
      <w:tr w14:paraId="4F509B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5" w:type="pct"/>
            <w:vMerge w:val="continue"/>
            <w:tcBorders>
              <w:tl2br w:val="nil"/>
              <w:tr2bl w:val="nil"/>
            </w:tcBorders>
            <w:vAlign w:val="center"/>
          </w:tcPr>
          <w:p w14:paraId="7C2997C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p>
        </w:tc>
        <w:tc>
          <w:tcPr>
            <w:tcW w:w="269" w:type="pct"/>
            <w:vMerge w:val="continue"/>
            <w:tcBorders>
              <w:tl2br w:val="nil"/>
              <w:tr2bl w:val="nil"/>
            </w:tcBorders>
            <w:vAlign w:val="center"/>
          </w:tcPr>
          <w:p w14:paraId="79C9E3E7">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p>
        </w:tc>
        <w:tc>
          <w:tcPr>
            <w:tcW w:w="560" w:type="pct"/>
            <w:tcBorders>
              <w:tl2br w:val="nil"/>
              <w:tr2bl w:val="nil"/>
            </w:tcBorders>
            <w:vAlign w:val="center"/>
          </w:tcPr>
          <w:p w14:paraId="4E6A290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细格栅及曝气沉砂池</w:t>
            </w:r>
          </w:p>
        </w:tc>
        <w:tc>
          <w:tcPr>
            <w:tcW w:w="1672" w:type="pct"/>
            <w:tcBorders>
              <w:tl2br w:val="nil"/>
              <w:tr2bl w:val="nil"/>
            </w:tcBorders>
            <w:vAlign w:val="center"/>
          </w:tcPr>
          <w:p w14:paraId="194D58A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依托一阶段</w:t>
            </w:r>
          </w:p>
        </w:tc>
        <w:tc>
          <w:tcPr>
            <w:tcW w:w="458" w:type="pct"/>
            <w:tcBorders>
              <w:tl2br w:val="nil"/>
              <w:tr2bl w:val="nil"/>
            </w:tcBorders>
            <w:vAlign w:val="center"/>
          </w:tcPr>
          <w:p w14:paraId="47ABD96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依托一阶段</w:t>
            </w:r>
          </w:p>
        </w:tc>
        <w:tc>
          <w:tcPr>
            <w:tcW w:w="1763" w:type="pct"/>
            <w:tcBorders>
              <w:tl2br w:val="nil"/>
              <w:tr2bl w:val="nil"/>
            </w:tcBorders>
            <w:vAlign w:val="center"/>
          </w:tcPr>
          <w:p w14:paraId="66BD0E2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FF"/>
                <w:kern w:val="0"/>
                <w:sz w:val="21"/>
                <w:szCs w:val="21"/>
                <w:vertAlign w:val="baseline"/>
                <w:lang w:val="en-US" w:eastAsia="zh-CN" w:bidi="ar"/>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依托一阶段</w:t>
            </w:r>
          </w:p>
        </w:tc>
      </w:tr>
      <w:tr w14:paraId="57245F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5" w:type="pct"/>
            <w:vMerge w:val="continue"/>
            <w:tcBorders>
              <w:tl2br w:val="nil"/>
              <w:tr2bl w:val="nil"/>
            </w:tcBorders>
            <w:vAlign w:val="center"/>
          </w:tcPr>
          <w:p w14:paraId="4A5AD13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p>
        </w:tc>
        <w:tc>
          <w:tcPr>
            <w:tcW w:w="269" w:type="pct"/>
            <w:vMerge w:val="continue"/>
            <w:tcBorders>
              <w:tl2br w:val="nil"/>
              <w:tr2bl w:val="nil"/>
            </w:tcBorders>
            <w:vAlign w:val="center"/>
          </w:tcPr>
          <w:p w14:paraId="1799FBB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p>
        </w:tc>
        <w:tc>
          <w:tcPr>
            <w:tcW w:w="560" w:type="pct"/>
            <w:tcBorders>
              <w:tl2br w:val="nil"/>
              <w:tr2bl w:val="nil"/>
            </w:tcBorders>
            <w:vAlign w:val="center"/>
          </w:tcPr>
          <w:p w14:paraId="7B5EF46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水解池</w:t>
            </w:r>
          </w:p>
        </w:tc>
        <w:tc>
          <w:tcPr>
            <w:tcW w:w="1672" w:type="pct"/>
            <w:tcBorders>
              <w:tl2br w:val="nil"/>
              <w:tr2bl w:val="nil"/>
            </w:tcBorders>
            <w:vAlign w:val="center"/>
          </w:tcPr>
          <w:p w14:paraId="381771AA">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仅安装设备。主要设备：32套固定床平板填料、6套多点布水器、32套填料、64套三角堰板、6台暗杆楔式闸阀等。</w:t>
            </w:r>
          </w:p>
        </w:tc>
        <w:tc>
          <w:tcPr>
            <w:tcW w:w="458" w:type="pct"/>
            <w:tcBorders>
              <w:tl2br w:val="nil"/>
              <w:tr2bl w:val="nil"/>
            </w:tcBorders>
            <w:vAlign w:val="center"/>
          </w:tcPr>
          <w:p w14:paraId="3B5999FD">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二阶段仅进行设备安装</w:t>
            </w:r>
          </w:p>
        </w:tc>
        <w:tc>
          <w:tcPr>
            <w:tcW w:w="1763" w:type="pct"/>
            <w:tcBorders>
              <w:tl2br w:val="nil"/>
              <w:tr2bl w:val="nil"/>
            </w:tcBorders>
            <w:vAlign w:val="center"/>
          </w:tcPr>
          <w:p w14:paraId="0A7D1B95">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FF"/>
                <w:kern w:val="0"/>
                <w:sz w:val="21"/>
                <w:szCs w:val="21"/>
                <w:vertAlign w:val="baseline"/>
                <w:lang w:val="en-US" w:eastAsia="zh-CN" w:bidi="ar"/>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仅安装设备。主要设备：32套固定床平板填料、6套多点布水器、32套填料、64套三角堰板、6台暗杆楔式闸阀等。</w:t>
            </w:r>
          </w:p>
        </w:tc>
      </w:tr>
      <w:tr w14:paraId="3173C9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275" w:type="pct"/>
            <w:vMerge w:val="continue"/>
            <w:tcBorders>
              <w:tl2br w:val="nil"/>
              <w:tr2bl w:val="nil"/>
            </w:tcBorders>
            <w:vAlign w:val="center"/>
          </w:tcPr>
          <w:p w14:paraId="767FE8A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p>
        </w:tc>
        <w:tc>
          <w:tcPr>
            <w:tcW w:w="269" w:type="pct"/>
            <w:vMerge w:val="continue"/>
            <w:tcBorders>
              <w:tl2br w:val="nil"/>
              <w:tr2bl w:val="nil"/>
            </w:tcBorders>
            <w:vAlign w:val="center"/>
          </w:tcPr>
          <w:p w14:paraId="3704CFA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p>
        </w:tc>
        <w:tc>
          <w:tcPr>
            <w:tcW w:w="560" w:type="pct"/>
            <w:tcBorders>
              <w:tl2br w:val="nil"/>
              <w:tr2bl w:val="nil"/>
            </w:tcBorders>
            <w:vAlign w:val="center"/>
          </w:tcPr>
          <w:p w14:paraId="46CB7866">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改良AAO氧化沟</w:t>
            </w:r>
          </w:p>
        </w:tc>
        <w:tc>
          <w:tcPr>
            <w:tcW w:w="1672" w:type="pct"/>
            <w:tcBorders>
              <w:tl2br w:val="nil"/>
              <w:tr2bl w:val="nil"/>
            </w:tcBorders>
            <w:vAlign w:val="center"/>
          </w:tcPr>
          <w:p w14:paraId="1D55316F">
            <w:pPr>
              <w:keepNext w:val="0"/>
              <w:keepLines w:val="0"/>
              <w:pageBreakBefore w:val="0"/>
              <w:kinsoku/>
              <w:wordWrap/>
              <w:overflowPunct/>
              <w:topLinePunct w:val="0"/>
              <w:autoSpaceDE/>
              <w:autoSpaceDN/>
              <w:bidi w:val="0"/>
              <w:adjustRightInd/>
              <w:snapToGrid w:val="0"/>
              <w:spacing w:line="240" w:lineRule="auto"/>
              <w:ind w:left="0" w:right="0" w:firstLine="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7"/>
                <w:sz w:val="21"/>
                <w:szCs w:val="21"/>
                <w14:textFill>
                  <w14:solidFill>
                    <w14:schemeClr w14:val="tx1"/>
                  </w14:solidFill>
                </w14:textFill>
              </w:rPr>
              <w:t>①土建及设计参数：1座钢筋砼结构；</w:t>
            </w:r>
            <w:r>
              <w:rPr>
                <w:rFonts w:hint="eastAsia" w:ascii="宋体" w:hAnsi="宋体" w:eastAsia="宋体" w:cs="宋体"/>
                <w:color w:val="000000" w:themeColor="text1"/>
                <w:sz w:val="21"/>
                <w:szCs w:val="21"/>
                <w14:textFill>
                  <w14:solidFill>
                    <w14:schemeClr w14:val="tx1"/>
                  </w14:solidFill>
                </w14:textFill>
              </w:rPr>
              <w:t>HRT</w:t>
            </w:r>
            <w:r>
              <w:rPr>
                <w:rFonts w:hint="eastAsia" w:ascii="宋体" w:hAnsi="宋体" w:eastAsia="宋体" w:cs="宋体"/>
                <w:color w:val="000000" w:themeColor="text1"/>
                <w:spacing w:val="7"/>
                <w:position w:val="-2"/>
                <w:sz w:val="21"/>
                <w:szCs w:val="21"/>
                <w14:textFill>
                  <w14:solidFill>
                    <w14:schemeClr w14:val="tx1"/>
                  </w14:solidFill>
                </w14:textFill>
              </w:rPr>
              <w:t>总</w:t>
            </w:r>
            <w:r>
              <w:rPr>
                <w:rFonts w:hint="eastAsia" w:ascii="宋体" w:hAnsi="宋体" w:eastAsia="宋体" w:cs="宋体"/>
                <w:color w:val="000000" w:themeColor="text1"/>
                <w:spacing w:val="7"/>
                <w:sz w:val="21"/>
                <w:szCs w:val="21"/>
                <w14:textFill>
                  <w14:solidFill>
                    <w14:schemeClr w14:val="tx1"/>
                  </w14:solidFill>
                </w14:textFill>
              </w:rPr>
              <w:t>=20h（</w:t>
            </w:r>
            <w:r>
              <w:rPr>
                <w:rFonts w:hint="eastAsia" w:ascii="宋体" w:hAnsi="宋体" w:eastAsia="宋体" w:cs="宋体"/>
                <w:color w:val="000000" w:themeColor="text1"/>
                <w:sz w:val="21"/>
                <w:szCs w:val="21"/>
                <w14:textFill>
                  <w14:solidFill>
                    <w14:schemeClr w14:val="tx1"/>
                  </w14:solidFill>
                </w14:textFill>
              </w:rPr>
              <w:t>HRT</w:t>
            </w:r>
            <w:r>
              <w:rPr>
                <w:rFonts w:hint="eastAsia" w:ascii="宋体" w:hAnsi="宋体" w:eastAsia="宋体" w:cs="宋体"/>
                <w:color w:val="000000" w:themeColor="text1"/>
                <w:spacing w:val="7"/>
                <w:position w:val="-2"/>
                <w:sz w:val="21"/>
                <w:szCs w:val="21"/>
                <w14:textFill>
                  <w14:solidFill>
                    <w14:schemeClr w14:val="tx1"/>
                  </w14:solidFill>
                </w14:textFill>
              </w:rPr>
              <w:t>厌</w:t>
            </w:r>
            <w:r>
              <w:rPr>
                <w:rFonts w:hint="eastAsia" w:ascii="宋体" w:hAnsi="宋体" w:eastAsia="宋体" w:cs="宋体"/>
                <w:color w:val="000000" w:themeColor="text1"/>
                <w:spacing w:val="7"/>
                <w:sz w:val="21"/>
                <w:szCs w:val="21"/>
                <w14:textFill>
                  <w14:solidFill>
                    <w14:schemeClr w14:val="tx1"/>
                  </w14:solidFill>
                </w14:textFill>
              </w:rPr>
              <w:t>=2h、</w:t>
            </w:r>
            <w:r>
              <w:rPr>
                <w:rFonts w:hint="eastAsia" w:ascii="宋体" w:hAnsi="宋体" w:eastAsia="宋体" w:cs="宋体"/>
                <w:color w:val="000000" w:themeColor="text1"/>
                <w:sz w:val="21"/>
                <w:szCs w:val="21"/>
                <w14:textFill>
                  <w14:solidFill>
                    <w14:schemeClr w14:val="tx1"/>
                  </w14:solidFill>
                </w14:textFill>
              </w:rPr>
              <w:t>HRT</w:t>
            </w:r>
            <w:r>
              <w:rPr>
                <w:rFonts w:hint="eastAsia" w:ascii="宋体" w:hAnsi="宋体" w:eastAsia="宋体" w:cs="宋体"/>
                <w:color w:val="000000" w:themeColor="text1"/>
                <w:spacing w:val="4"/>
                <w:position w:val="-2"/>
                <w:sz w:val="21"/>
                <w:szCs w:val="21"/>
                <w:vertAlign w:val="subscript"/>
                <w14:textFill>
                  <w14:solidFill>
                    <w14:schemeClr w14:val="tx1"/>
                  </w14:solidFill>
                </w14:textFill>
              </w:rPr>
              <w:t>缺</w:t>
            </w:r>
            <w:r>
              <w:rPr>
                <w:rFonts w:hint="eastAsia" w:ascii="宋体" w:hAnsi="宋体" w:eastAsia="宋体" w:cs="宋体"/>
                <w:color w:val="000000" w:themeColor="text1"/>
                <w:spacing w:val="4"/>
                <w:sz w:val="21"/>
                <w:szCs w:val="21"/>
                <w14:textFill>
                  <w14:solidFill>
                    <w14:schemeClr w14:val="tx1"/>
                  </w14:solidFill>
                </w14:textFill>
              </w:rPr>
              <w:t>=3.5h、</w:t>
            </w:r>
            <w:r>
              <w:rPr>
                <w:rFonts w:hint="eastAsia" w:ascii="宋体" w:hAnsi="宋体" w:eastAsia="宋体" w:cs="宋体"/>
                <w:color w:val="000000" w:themeColor="text1"/>
                <w:sz w:val="21"/>
                <w:szCs w:val="21"/>
                <w14:textFill>
                  <w14:solidFill>
                    <w14:schemeClr w14:val="tx1"/>
                  </w14:solidFill>
                </w14:textFill>
              </w:rPr>
              <w:t>HRT</w:t>
            </w:r>
            <w:r>
              <w:rPr>
                <w:rFonts w:hint="eastAsia" w:ascii="宋体" w:hAnsi="宋体" w:eastAsia="宋体" w:cs="宋体"/>
                <w:color w:val="000000" w:themeColor="text1"/>
                <w:spacing w:val="4"/>
                <w:position w:val="-2"/>
                <w:sz w:val="21"/>
                <w:szCs w:val="21"/>
                <w:vertAlign w:val="subscript"/>
                <w14:textFill>
                  <w14:solidFill>
                    <w14:schemeClr w14:val="tx1"/>
                  </w14:solidFill>
                </w14:textFill>
              </w:rPr>
              <w:t>好</w:t>
            </w:r>
            <w:r>
              <w:rPr>
                <w:rFonts w:hint="eastAsia" w:ascii="宋体" w:hAnsi="宋体" w:eastAsia="宋体" w:cs="宋体"/>
                <w:color w:val="000000" w:themeColor="text1"/>
                <w:spacing w:val="4"/>
                <w:sz w:val="21"/>
                <w:szCs w:val="21"/>
                <w14:textFill>
                  <w14:solidFill>
                    <w14:schemeClr w14:val="tx1"/>
                  </w14:solidFill>
                </w14:textFill>
              </w:rPr>
              <w:t>=14.5h</w:t>
            </w:r>
            <w:r>
              <w:rPr>
                <w:rFonts w:hint="eastAsia" w:ascii="宋体" w:hAnsi="宋体" w:eastAsia="宋体" w:cs="宋体"/>
                <w:color w:val="000000" w:themeColor="text1"/>
                <w:spacing w:val="-3"/>
                <w:sz w:val="21"/>
                <w:szCs w:val="21"/>
                <w14:textFill>
                  <w14:solidFill>
                    <w14:schemeClr w14:val="tx1"/>
                  </w14:solidFill>
                </w14:textFill>
              </w:rPr>
              <w:t>）；</w:t>
            </w:r>
            <w:r>
              <w:rPr>
                <w:rFonts w:hint="eastAsia" w:ascii="宋体" w:hAnsi="宋体" w:eastAsia="宋体" w:cs="宋体"/>
                <w:color w:val="000000" w:themeColor="text1"/>
                <w:spacing w:val="4"/>
                <w:sz w:val="21"/>
                <w:szCs w:val="21"/>
                <w14:textFill>
                  <w14:solidFill>
                    <w14:schemeClr w14:val="tx1"/>
                  </w14:solidFill>
                </w14:textFill>
              </w:rPr>
              <w:t>设计最大污泥回流</w:t>
            </w:r>
            <w:r>
              <w:rPr>
                <w:rFonts w:hint="eastAsia" w:ascii="宋体" w:hAnsi="宋体" w:eastAsia="宋体" w:cs="宋体"/>
                <w:color w:val="000000" w:themeColor="text1"/>
                <w:spacing w:val="3"/>
                <w:sz w:val="21"/>
                <w:szCs w:val="21"/>
                <w14:textFill>
                  <w14:solidFill>
                    <w14:schemeClr w14:val="tx1"/>
                  </w14:solidFill>
                </w14:textFill>
              </w:rPr>
              <w:t>比100%；厌氧</w:t>
            </w:r>
            <w:r>
              <w:rPr>
                <w:rFonts w:hint="eastAsia" w:ascii="宋体" w:hAnsi="宋体" w:eastAsia="宋体" w:cs="宋体"/>
                <w:color w:val="000000" w:themeColor="text1"/>
                <w:spacing w:val="-3"/>
                <w:sz w:val="21"/>
                <w:szCs w:val="21"/>
                <w14:textFill>
                  <w14:solidFill>
                    <w14:schemeClr w14:val="tx1"/>
                  </w14:solidFill>
                </w14:textFill>
              </w:rPr>
              <w:t>区平面尺寸：19.95×3.90m（单池）、缺氧区平面尺寸：19.95×7.95m</w:t>
            </w:r>
            <w:r>
              <w:rPr>
                <w:rFonts w:hint="eastAsia" w:ascii="宋体" w:hAnsi="宋体" w:eastAsia="宋体" w:cs="宋体"/>
                <w:color w:val="000000" w:themeColor="text1"/>
                <w:spacing w:val="7"/>
                <w:sz w:val="21"/>
                <w:szCs w:val="21"/>
                <w14:textFill>
                  <w14:solidFill>
                    <w14:schemeClr w14:val="tx1"/>
                  </w14:solidFill>
                </w14:textFill>
              </w:rPr>
              <w:t>（单池）、好氧区平面尺寸：18.75×19.95m（单池</w:t>
            </w:r>
            <w:r>
              <w:rPr>
                <w:rFonts w:hint="eastAsia" w:ascii="宋体" w:hAnsi="宋体" w:eastAsia="宋体" w:cs="宋体"/>
                <w:color w:val="000000" w:themeColor="text1"/>
                <w:spacing w:val="13"/>
                <w:sz w:val="21"/>
                <w:szCs w:val="21"/>
                <w14:textFill>
                  <w14:solidFill>
                    <w14:schemeClr w14:val="tx1"/>
                  </w14:solidFill>
                </w14:textFill>
              </w:rPr>
              <w:t>）；</w:t>
            </w:r>
            <w:r>
              <w:rPr>
                <w:rFonts w:hint="eastAsia" w:ascii="宋体" w:hAnsi="宋体" w:eastAsia="宋体" w:cs="宋体"/>
                <w:color w:val="000000" w:themeColor="text1"/>
                <w:spacing w:val="6"/>
                <w:sz w:val="21"/>
                <w:szCs w:val="21"/>
                <w14:textFill>
                  <w14:solidFill>
                    <w14:schemeClr w14:val="tx1"/>
                  </w14:solidFill>
                </w14:textFill>
              </w:rPr>
              <w:t>设计污泥</w:t>
            </w:r>
            <w:r>
              <w:rPr>
                <w:rFonts w:hint="eastAsia" w:ascii="宋体" w:hAnsi="宋体" w:eastAsia="宋体" w:cs="宋体"/>
                <w:color w:val="000000" w:themeColor="text1"/>
                <w:spacing w:val="10"/>
                <w:position w:val="2"/>
                <w:sz w:val="21"/>
                <w:szCs w:val="21"/>
                <w14:textFill>
                  <w14:solidFill>
                    <w14:schemeClr w14:val="tx1"/>
                  </w14:solidFill>
                </w14:textFill>
              </w:rPr>
              <w:t>负荷：</w:t>
            </w:r>
            <w:r>
              <w:rPr>
                <w:rFonts w:hint="eastAsia" w:ascii="宋体" w:hAnsi="宋体" w:eastAsia="宋体" w:cs="宋体"/>
                <w:color w:val="000000" w:themeColor="text1"/>
                <w:position w:val="2"/>
                <w:sz w:val="21"/>
                <w:szCs w:val="21"/>
                <w14:textFill>
                  <w14:solidFill>
                    <w14:schemeClr w14:val="tx1"/>
                  </w14:solidFill>
                </w14:textFill>
              </w:rPr>
              <w:t>Fw</w:t>
            </w:r>
            <w:r>
              <w:rPr>
                <w:rFonts w:hint="eastAsia" w:ascii="宋体" w:hAnsi="宋体" w:eastAsia="宋体" w:cs="宋体"/>
                <w:color w:val="000000" w:themeColor="text1"/>
                <w:spacing w:val="10"/>
                <w:position w:val="2"/>
                <w:sz w:val="21"/>
                <w:szCs w:val="21"/>
                <w14:textFill>
                  <w14:solidFill>
                    <w14:schemeClr w14:val="tx1"/>
                  </w14:solidFill>
                </w14:textFill>
              </w:rPr>
              <w:t>=0.085</w:t>
            </w:r>
            <w:r>
              <w:rPr>
                <w:rFonts w:hint="eastAsia" w:ascii="宋体" w:hAnsi="宋体" w:eastAsia="宋体" w:cs="宋体"/>
                <w:color w:val="000000" w:themeColor="text1"/>
                <w:position w:val="2"/>
                <w:sz w:val="21"/>
                <w:szCs w:val="21"/>
                <w14:textFill>
                  <w14:solidFill>
                    <w14:schemeClr w14:val="tx1"/>
                  </w14:solidFill>
                </w14:textFill>
              </w:rPr>
              <w:t>kgBOD</w:t>
            </w:r>
            <w:r>
              <w:rPr>
                <w:rFonts w:hint="eastAsia" w:ascii="宋体" w:hAnsi="宋体" w:eastAsia="宋体" w:cs="宋体"/>
                <w:color w:val="000000" w:themeColor="text1"/>
                <w:spacing w:val="10"/>
                <w:position w:val="2"/>
                <w:sz w:val="21"/>
                <w:szCs w:val="21"/>
                <w14:textFill>
                  <w14:solidFill>
                    <w14:schemeClr w14:val="tx1"/>
                  </w14:solidFill>
                </w14:textFill>
              </w:rPr>
              <w:t>5/</w:t>
            </w:r>
            <w:r>
              <w:rPr>
                <w:rFonts w:hint="eastAsia" w:ascii="宋体" w:hAnsi="宋体" w:eastAsia="宋体" w:cs="宋体"/>
                <w:color w:val="000000" w:themeColor="text1"/>
                <w:position w:val="2"/>
                <w:sz w:val="21"/>
                <w:szCs w:val="21"/>
                <w14:textFill>
                  <w14:solidFill>
                    <w14:schemeClr w14:val="tx1"/>
                  </w14:solidFill>
                </w14:textFill>
              </w:rPr>
              <w:t>KgMLSS</w:t>
            </w:r>
            <w:r>
              <w:rPr>
                <w:rFonts w:hint="eastAsia" w:ascii="宋体" w:hAnsi="宋体" w:eastAsia="宋体" w:cs="宋体"/>
                <w:color w:val="000000" w:themeColor="text1"/>
                <w:spacing w:val="10"/>
                <w:position w:val="2"/>
                <w:sz w:val="21"/>
                <w:szCs w:val="21"/>
                <w14:textFill>
                  <w14:solidFill>
                    <w14:schemeClr w14:val="tx1"/>
                  </w14:solidFill>
                </w14:textFill>
              </w:rPr>
              <w:t>·d。</w:t>
            </w:r>
          </w:p>
          <w:p w14:paraId="4D4034E4">
            <w:pPr>
              <w:keepNext w:val="0"/>
              <w:keepLines w:val="0"/>
              <w:pageBreakBefore w:val="0"/>
              <w:widowControl/>
              <w:suppressLineNumbers w:val="0"/>
              <w:kinsoku/>
              <w:wordWrap/>
              <w:overflowPunct/>
              <w:topLinePunct w:val="0"/>
              <w:autoSpaceDE/>
              <w:autoSpaceDN/>
              <w:bidi w:val="0"/>
              <w:adjustRightInd/>
              <w:snapToGrid w:val="0"/>
              <w:spacing w:line="240" w:lineRule="auto"/>
              <w:ind w:left="0" w:right="0" w:firstLine="0"/>
              <w:jc w:val="both"/>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spacing w:val="5"/>
                <w:sz w:val="21"/>
                <w:szCs w:val="21"/>
                <w14:textFill>
                  <w14:solidFill>
                    <w14:schemeClr w14:val="tx1"/>
                  </w14:solidFill>
                </w14:textFill>
              </w:rPr>
              <w:t>②主要设备：2台低速潜水推进器（叶片直径：2200</w:t>
            </w:r>
            <w:r>
              <w:rPr>
                <w:rFonts w:hint="eastAsia" w:ascii="宋体" w:hAnsi="宋体" w:eastAsia="宋体" w:cs="宋体"/>
                <w:color w:val="000000" w:themeColor="text1"/>
                <w:sz w:val="21"/>
                <w:szCs w:val="21"/>
                <w14:textFill>
                  <w14:solidFill>
                    <w14:schemeClr w14:val="tx1"/>
                  </w14:solidFill>
                </w14:textFill>
              </w:rPr>
              <w:t>mm</w:t>
            </w:r>
            <w:r>
              <w:rPr>
                <w:rFonts w:hint="eastAsia" w:ascii="宋体" w:hAnsi="宋体" w:eastAsia="宋体" w:cs="宋体"/>
                <w:color w:val="000000" w:themeColor="text1"/>
                <w:spacing w:val="5"/>
                <w:sz w:val="21"/>
                <w:szCs w:val="21"/>
                <w14:textFill>
                  <w14:solidFill>
                    <w14:schemeClr w14:val="tx1"/>
                  </w14:solidFill>
                </w14:textFill>
              </w:rPr>
              <w:t>）、4台</w:t>
            </w:r>
            <w:r>
              <w:rPr>
                <w:rFonts w:hint="eastAsia" w:ascii="宋体" w:hAnsi="宋体" w:eastAsia="宋体" w:cs="宋体"/>
                <w:color w:val="000000" w:themeColor="text1"/>
                <w:spacing w:val="10"/>
                <w:sz w:val="21"/>
                <w:szCs w:val="21"/>
                <w14:textFill>
                  <w14:solidFill>
                    <w14:schemeClr w14:val="tx1"/>
                  </w14:solidFill>
                </w14:textFill>
              </w:rPr>
              <w:t>低速潜水推进器（叶片直径：2000</w:t>
            </w:r>
            <w:r>
              <w:rPr>
                <w:rFonts w:hint="eastAsia" w:ascii="宋体" w:hAnsi="宋体" w:eastAsia="宋体" w:cs="宋体"/>
                <w:color w:val="000000" w:themeColor="text1"/>
                <w:sz w:val="21"/>
                <w:szCs w:val="21"/>
                <w14:textFill>
                  <w14:solidFill>
                    <w14:schemeClr w14:val="tx1"/>
                  </w14:solidFill>
                </w14:textFill>
              </w:rPr>
              <w:t>mm</w:t>
            </w:r>
            <w:r>
              <w:rPr>
                <w:rFonts w:hint="eastAsia" w:ascii="宋体" w:hAnsi="宋体" w:eastAsia="宋体" w:cs="宋体"/>
                <w:color w:val="000000" w:themeColor="text1"/>
                <w:spacing w:val="10"/>
                <w:sz w:val="21"/>
                <w:szCs w:val="21"/>
                <w14:textFill>
                  <w14:solidFill>
                    <w14:schemeClr w14:val="tx1"/>
                  </w14:solidFill>
                </w14:textFill>
              </w:rPr>
              <w:t>）、3台高速潜水搅拌器</w:t>
            </w:r>
            <w:r>
              <w:rPr>
                <w:rFonts w:hint="eastAsia" w:ascii="宋体" w:hAnsi="宋体" w:eastAsia="宋体" w:cs="宋体"/>
                <w:color w:val="000000" w:themeColor="text1"/>
                <w:spacing w:val="5"/>
                <w:sz w:val="21"/>
                <w:szCs w:val="21"/>
                <w14:textFill>
                  <w14:solidFill>
                    <w14:schemeClr w14:val="tx1"/>
                  </w14:solidFill>
                </w14:textFill>
              </w:rPr>
              <w:t>（叶片直径：370</w:t>
            </w:r>
            <w:r>
              <w:rPr>
                <w:rFonts w:hint="eastAsia" w:ascii="宋体" w:hAnsi="宋体" w:eastAsia="宋体" w:cs="宋体"/>
                <w:color w:val="000000" w:themeColor="text1"/>
                <w:sz w:val="21"/>
                <w:szCs w:val="21"/>
                <w14:textFill>
                  <w14:solidFill>
                    <w14:schemeClr w14:val="tx1"/>
                  </w14:solidFill>
                </w14:textFill>
              </w:rPr>
              <w:t>mm</w:t>
            </w:r>
            <w:r>
              <w:rPr>
                <w:rFonts w:hint="eastAsia" w:ascii="宋体" w:hAnsi="宋体" w:eastAsia="宋体" w:cs="宋体"/>
                <w:color w:val="000000" w:themeColor="text1"/>
                <w:spacing w:val="5"/>
                <w:sz w:val="21"/>
                <w:szCs w:val="21"/>
                <w14:textFill>
                  <w14:solidFill>
                    <w14:schemeClr w14:val="tx1"/>
                  </w14:solidFill>
                </w14:textFill>
              </w:rPr>
              <w:t>）、1台内回流控制门、1台铸铁圆闸门、1</w:t>
            </w:r>
            <w:r>
              <w:rPr>
                <w:rFonts w:hint="eastAsia" w:ascii="宋体" w:hAnsi="宋体" w:eastAsia="宋体" w:cs="宋体"/>
                <w:color w:val="000000" w:themeColor="text1"/>
                <w:spacing w:val="7"/>
                <w:sz w:val="21"/>
                <w:szCs w:val="21"/>
                <w14:textFill>
                  <w14:solidFill>
                    <w14:schemeClr w14:val="tx1"/>
                  </w14:solidFill>
                </w14:textFill>
              </w:rPr>
              <w:t>台可调节堰门等。</w:t>
            </w:r>
          </w:p>
        </w:tc>
        <w:tc>
          <w:tcPr>
            <w:tcW w:w="458" w:type="pct"/>
            <w:tcBorders>
              <w:tl2br w:val="nil"/>
              <w:tr2bl w:val="nil"/>
            </w:tcBorders>
            <w:vAlign w:val="center"/>
          </w:tcPr>
          <w:p w14:paraId="4E7608E0">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二阶段新增1座氧化沟，并进行设备安装</w:t>
            </w:r>
          </w:p>
        </w:tc>
        <w:tc>
          <w:tcPr>
            <w:tcW w:w="1763" w:type="pct"/>
            <w:tcBorders>
              <w:tl2br w:val="nil"/>
              <w:tr2bl w:val="nil"/>
            </w:tcBorders>
            <w:vAlign w:val="center"/>
          </w:tcPr>
          <w:p w14:paraId="71BF45E7">
            <w:pPr>
              <w:keepNext w:val="0"/>
              <w:keepLines w:val="0"/>
              <w:pageBreakBefore w:val="0"/>
              <w:kinsoku/>
              <w:wordWrap/>
              <w:overflowPunct/>
              <w:topLinePunct w:val="0"/>
              <w:autoSpaceDE/>
              <w:autoSpaceDN/>
              <w:bidi w:val="0"/>
              <w:adjustRightInd/>
              <w:snapToGrid w:val="0"/>
              <w:spacing w:line="240" w:lineRule="auto"/>
              <w:ind w:left="0" w:right="0" w:firstLine="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7"/>
                <w:sz w:val="21"/>
                <w:szCs w:val="21"/>
                <w14:textFill>
                  <w14:solidFill>
                    <w14:schemeClr w14:val="tx1"/>
                  </w14:solidFill>
                </w14:textFill>
              </w:rPr>
              <w:t>①土建及设计参数：1座钢筋砼结构；</w:t>
            </w:r>
            <w:r>
              <w:rPr>
                <w:rFonts w:hint="eastAsia" w:ascii="宋体" w:hAnsi="宋体" w:eastAsia="宋体" w:cs="宋体"/>
                <w:color w:val="000000" w:themeColor="text1"/>
                <w:sz w:val="21"/>
                <w:szCs w:val="21"/>
                <w14:textFill>
                  <w14:solidFill>
                    <w14:schemeClr w14:val="tx1"/>
                  </w14:solidFill>
                </w14:textFill>
              </w:rPr>
              <w:t>HRT</w:t>
            </w:r>
            <w:r>
              <w:rPr>
                <w:rFonts w:hint="eastAsia" w:ascii="宋体" w:hAnsi="宋体" w:eastAsia="宋体" w:cs="宋体"/>
                <w:color w:val="000000" w:themeColor="text1"/>
                <w:spacing w:val="7"/>
                <w:position w:val="-2"/>
                <w:sz w:val="21"/>
                <w:szCs w:val="21"/>
                <w14:textFill>
                  <w14:solidFill>
                    <w14:schemeClr w14:val="tx1"/>
                  </w14:solidFill>
                </w14:textFill>
              </w:rPr>
              <w:t>总</w:t>
            </w:r>
            <w:r>
              <w:rPr>
                <w:rFonts w:hint="eastAsia" w:ascii="宋体" w:hAnsi="宋体" w:eastAsia="宋体" w:cs="宋体"/>
                <w:color w:val="000000" w:themeColor="text1"/>
                <w:spacing w:val="7"/>
                <w:sz w:val="21"/>
                <w:szCs w:val="21"/>
                <w14:textFill>
                  <w14:solidFill>
                    <w14:schemeClr w14:val="tx1"/>
                  </w14:solidFill>
                </w14:textFill>
              </w:rPr>
              <w:t>=20h（</w:t>
            </w:r>
            <w:r>
              <w:rPr>
                <w:rFonts w:hint="eastAsia" w:ascii="宋体" w:hAnsi="宋体" w:eastAsia="宋体" w:cs="宋体"/>
                <w:color w:val="000000" w:themeColor="text1"/>
                <w:sz w:val="21"/>
                <w:szCs w:val="21"/>
                <w14:textFill>
                  <w14:solidFill>
                    <w14:schemeClr w14:val="tx1"/>
                  </w14:solidFill>
                </w14:textFill>
              </w:rPr>
              <w:t>HRT</w:t>
            </w:r>
            <w:r>
              <w:rPr>
                <w:rFonts w:hint="eastAsia" w:ascii="宋体" w:hAnsi="宋体" w:eastAsia="宋体" w:cs="宋体"/>
                <w:color w:val="000000" w:themeColor="text1"/>
                <w:spacing w:val="7"/>
                <w:position w:val="-2"/>
                <w:sz w:val="21"/>
                <w:szCs w:val="21"/>
                <w14:textFill>
                  <w14:solidFill>
                    <w14:schemeClr w14:val="tx1"/>
                  </w14:solidFill>
                </w14:textFill>
              </w:rPr>
              <w:t>厌</w:t>
            </w:r>
            <w:r>
              <w:rPr>
                <w:rFonts w:hint="eastAsia" w:ascii="宋体" w:hAnsi="宋体" w:eastAsia="宋体" w:cs="宋体"/>
                <w:color w:val="000000" w:themeColor="text1"/>
                <w:spacing w:val="7"/>
                <w:sz w:val="21"/>
                <w:szCs w:val="21"/>
                <w14:textFill>
                  <w14:solidFill>
                    <w14:schemeClr w14:val="tx1"/>
                  </w14:solidFill>
                </w14:textFill>
              </w:rPr>
              <w:t>=2h、</w:t>
            </w:r>
            <w:r>
              <w:rPr>
                <w:rFonts w:hint="eastAsia" w:ascii="宋体" w:hAnsi="宋体" w:eastAsia="宋体" w:cs="宋体"/>
                <w:color w:val="000000" w:themeColor="text1"/>
                <w:sz w:val="21"/>
                <w:szCs w:val="21"/>
                <w14:textFill>
                  <w14:solidFill>
                    <w14:schemeClr w14:val="tx1"/>
                  </w14:solidFill>
                </w14:textFill>
              </w:rPr>
              <w:t>HRT</w:t>
            </w:r>
            <w:r>
              <w:rPr>
                <w:rFonts w:hint="eastAsia" w:ascii="宋体" w:hAnsi="宋体" w:eastAsia="宋体" w:cs="宋体"/>
                <w:color w:val="000000" w:themeColor="text1"/>
                <w:spacing w:val="4"/>
                <w:position w:val="-2"/>
                <w:sz w:val="21"/>
                <w:szCs w:val="21"/>
                <w:vertAlign w:val="subscript"/>
                <w14:textFill>
                  <w14:solidFill>
                    <w14:schemeClr w14:val="tx1"/>
                  </w14:solidFill>
                </w14:textFill>
              </w:rPr>
              <w:t>缺</w:t>
            </w:r>
            <w:r>
              <w:rPr>
                <w:rFonts w:hint="eastAsia" w:ascii="宋体" w:hAnsi="宋体" w:eastAsia="宋体" w:cs="宋体"/>
                <w:color w:val="000000" w:themeColor="text1"/>
                <w:spacing w:val="4"/>
                <w:sz w:val="21"/>
                <w:szCs w:val="21"/>
                <w14:textFill>
                  <w14:solidFill>
                    <w14:schemeClr w14:val="tx1"/>
                  </w14:solidFill>
                </w14:textFill>
              </w:rPr>
              <w:t>=3.5h、</w:t>
            </w:r>
            <w:r>
              <w:rPr>
                <w:rFonts w:hint="eastAsia" w:ascii="宋体" w:hAnsi="宋体" w:eastAsia="宋体" w:cs="宋体"/>
                <w:color w:val="000000" w:themeColor="text1"/>
                <w:sz w:val="21"/>
                <w:szCs w:val="21"/>
                <w14:textFill>
                  <w14:solidFill>
                    <w14:schemeClr w14:val="tx1"/>
                  </w14:solidFill>
                </w14:textFill>
              </w:rPr>
              <w:t>HRT</w:t>
            </w:r>
            <w:r>
              <w:rPr>
                <w:rFonts w:hint="eastAsia" w:ascii="宋体" w:hAnsi="宋体" w:eastAsia="宋体" w:cs="宋体"/>
                <w:color w:val="000000" w:themeColor="text1"/>
                <w:spacing w:val="4"/>
                <w:position w:val="-2"/>
                <w:sz w:val="21"/>
                <w:szCs w:val="21"/>
                <w:vertAlign w:val="subscript"/>
                <w14:textFill>
                  <w14:solidFill>
                    <w14:schemeClr w14:val="tx1"/>
                  </w14:solidFill>
                </w14:textFill>
              </w:rPr>
              <w:t>好</w:t>
            </w:r>
            <w:r>
              <w:rPr>
                <w:rFonts w:hint="eastAsia" w:ascii="宋体" w:hAnsi="宋体" w:eastAsia="宋体" w:cs="宋体"/>
                <w:color w:val="000000" w:themeColor="text1"/>
                <w:spacing w:val="4"/>
                <w:sz w:val="21"/>
                <w:szCs w:val="21"/>
                <w14:textFill>
                  <w14:solidFill>
                    <w14:schemeClr w14:val="tx1"/>
                  </w14:solidFill>
                </w14:textFill>
              </w:rPr>
              <w:t>=14.5h</w:t>
            </w:r>
            <w:r>
              <w:rPr>
                <w:rFonts w:hint="eastAsia" w:ascii="宋体" w:hAnsi="宋体" w:eastAsia="宋体" w:cs="宋体"/>
                <w:color w:val="000000" w:themeColor="text1"/>
                <w:spacing w:val="-3"/>
                <w:sz w:val="21"/>
                <w:szCs w:val="21"/>
                <w14:textFill>
                  <w14:solidFill>
                    <w14:schemeClr w14:val="tx1"/>
                  </w14:solidFill>
                </w14:textFill>
              </w:rPr>
              <w:t>）；</w:t>
            </w:r>
            <w:r>
              <w:rPr>
                <w:rFonts w:hint="eastAsia" w:ascii="宋体" w:hAnsi="宋体" w:eastAsia="宋体" w:cs="宋体"/>
                <w:color w:val="000000" w:themeColor="text1"/>
                <w:spacing w:val="4"/>
                <w:sz w:val="21"/>
                <w:szCs w:val="21"/>
                <w14:textFill>
                  <w14:solidFill>
                    <w14:schemeClr w14:val="tx1"/>
                  </w14:solidFill>
                </w14:textFill>
              </w:rPr>
              <w:t>设计最大污泥回流</w:t>
            </w:r>
            <w:r>
              <w:rPr>
                <w:rFonts w:hint="eastAsia" w:ascii="宋体" w:hAnsi="宋体" w:eastAsia="宋体" w:cs="宋体"/>
                <w:color w:val="000000" w:themeColor="text1"/>
                <w:spacing w:val="3"/>
                <w:sz w:val="21"/>
                <w:szCs w:val="21"/>
                <w14:textFill>
                  <w14:solidFill>
                    <w14:schemeClr w14:val="tx1"/>
                  </w14:solidFill>
                </w14:textFill>
              </w:rPr>
              <w:t>比100%；厌氧</w:t>
            </w:r>
            <w:r>
              <w:rPr>
                <w:rFonts w:hint="eastAsia" w:ascii="宋体" w:hAnsi="宋体" w:eastAsia="宋体" w:cs="宋体"/>
                <w:color w:val="000000" w:themeColor="text1"/>
                <w:spacing w:val="-3"/>
                <w:sz w:val="21"/>
                <w:szCs w:val="21"/>
                <w14:textFill>
                  <w14:solidFill>
                    <w14:schemeClr w14:val="tx1"/>
                  </w14:solidFill>
                </w14:textFill>
              </w:rPr>
              <w:t>区平面尺寸：19.95×3.90m（单池）、缺氧区平面尺寸：19.95×7.95m</w:t>
            </w:r>
            <w:r>
              <w:rPr>
                <w:rFonts w:hint="eastAsia" w:ascii="宋体" w:hAnsi="宋体" w:eastAsia="宋体" w:cs="宋体"/>
                <w:color w:val="000000" w:themeColor="text1"/>
                <w:spacing w:val="7"/>
                <w:sz w:val="21"/>
                <w:szCs w:val="21"/>
                <w14:textFill>
                  <w14:solidFill>
                    <w14:schemeClr w14:val="tx1"/>
                  </w14:solidFill>
                </w14:textFill>
              </w:rPr>
              <w:t>（单池）、好氧区平面尺寸：18.75×19.95m（单池</w:t>
            </w:r>
            <w:r>
              <w:rPr>
                <w:rFonts w:hint="eastAsia" w:ascii="宋体" w:hAnsi="宋体" w:eastAsia="宋体" w:cs="宋体"/>
                <w:color w:val="000000" w:themeColor="text1"/>
                <w:spacing w:val="13"/>
                <w:sz w:val="21"/>
                <w:szCs w:val="21"/>
                <w14:textFill>
                  <w14:solidFill>
                    <w14:schemeClr w14:val="tx1"/>
                  </w14:solidFill>
                </w14:textFill>
              </w:rPr>
              <w:t>）；</w:t>
            </w:r>
            <w:r>
              <w:rPr>
                <w:rFonts w:hint="eastAsia" w:ascii="宋体" w:hAnsi="宋体" w:eastAsia="宋体" w:cs="宋体"/>
                <w:color w:val="000000" w:themeColor="text1"/>
                <w:spacing w:val="6"/>
                <w:sz w:val="21"/>
                <w:szCs w:val="21"/>
                <w14:textFill>
                  <w14:solidFill>
                    <w14:schemeClr w14:val="tx1"/>
                  </w14:solidFill>
                </w14:textFill>
              </w:rPr>
              <w:t>设计污泥</w:t>
            </w:r>
            <w:r>
              <w:rPr>
                <w:rFonts w:hint="eastAsia" w:ascii="宋体" w:hAnsi="宋体" w:eastAsia="宋体" w:cs="宋体"/>
                <w:color w:val="000000" w:themeColor="text1"/>
                <w:spacing w:val="10"/>
                <w:position w:val="2"/>
                <w:sz w:val="21"/>
                <w:szCs w:val="21"/>
                <w14:textFill>
                  <w14:solidFill>
                    <w14:schemeClr w14:val="tx1"/>
                  </w14:solidFill>
                </w14:textFill>
              </w:rPr>
              <w:t>负荷：</w:t>
            </w:r>
            <w:r>
              <w:rPr>
                <w:rFonts w:hint="eastAsia" w:ascii="宋体" w:hAnsi="宋体" w:eastAsia="宋体" w:cs="宋体"/>
                <w:color w:val="000000" w:themeColor="text1"/>
                <w:position w:val="2"/>
                <w:sz w:val="21"/>
                <w:szCs w:val="21"/>
                <w14:textFill>
                  <w14:solidFill>
                    <w14:schemeClr w14:val="tx1"/>
                  </w14:solidFill>
                </w14:textFill>
              </w:rPr>
              <w:t>Fw</w:t>
            </w:r>
            <w:r>
              <w:rPr>
                <w:rFonts w:hint="eastAsia" w:ascii="宋体" w:hAnsi="宋体" w:eastAsia="宋体" w:cs="宋体"/>
                <w:color w:val="000000" w:themeColor="text1"/>
                <w:spacing w:val="10"/>
                <w:position w:val="2"/>
                <w:sz w:val="21"/>
                <w:szCs w:val="21"/>
                <w14:textFill>
                  <w14:solidFill>
                    <w14:schemeClr w14:val="tx1"/>
                  </w14:solidFill>
                </w14:textFill>
              </w:rPr>
              <w:t>=0.085</w:t>
            </w:r>
            <w:r>
              <w:rPr>
                <w:rFonts w:hint="eastAsia" w:ascii="宋体" w:hAnsi="宋体" w:eastAsia="宋体" w:cs="宋体"/>
                <w:color w:val="000000" w:themeColor="text1"/>
                <w:position w:val="2"/>
                <w:sz w:val="21"/>
                <w:szCs w:val="21"/>
                <w14:textFill>
                  <w14:solidFill>
                    <w14:schemeClr w14:val="tx1"/>
                  </w14:solidFill>
                </w14:textFill>
              </w:rPr>
              <w:t>kgBOD</w:t>
            </w:r>
            <w:r>
              <w:rPr>
                <w:rFonts w:hint="eastAsia" w:ascii="宋体" w:hAnsi="宋体" w:eastAsia="宋体" w:cs="宋体"/>
                <w:color w:val="000000" w:themeColor="text1"/>
                <w:spacing w:val="10"/>
                <w:position w:val="2"/>
                <w:sz w:val="21"/>
                <w:szCs w:val="21"/>
                <w14:textFill>
                  <w14:solidFill>
                    <w14:schemeClr w14:val="tx1"/>
                  </w14:solidFill>
                </w14:textFill>
              </w:rPr>
              <w:t>5/</w:t>
            </w:r>
            <w:r>
              <w:rPr>
                <w:rFonts w:hint="eastAsia" w:ascii="宋体" w:hAnsi="宋体" w:eastAsia="宋体" w:cs="宋体"/>
                <w:color w:val="000000" w:themeColor="text1"/>
                <w:position w:val="2"/>
                <w:sz w:val="21"/>
                <w:szCs w:val="21"/>
                <w14:textFill>
                  <w14:solidFill>
                    <w14:schemeClr w14:val="tx1"/>
                  </w14:solidFill>
                </w14:textFill>
              </w:rPr>
              <w:t>KgMLSS</w:t>
            </w:r>
            <w:r>
              <w:rPr>
                <w:rFonts w:hint="eastAsia" w:ascii="宋体" w:hAnsi="宋体" w:eastAsia="宋体" w:cs="宋体"/>
                <w:color w:val="000000" w:themeColor="text1"/>
                <w:spacing w:val="10"/>
                <w:position w:val="2"/>
                <w:sz w:val="21"/>
                <w:szCs w:val="21"/>
                <w14:textFill>
                  <w14:solidFill>
                    <w14:schemeClr w14:val="tx1"/>
                  </w14:solidFill>
                </w14:textFill>
              </w:rPr>
              <w:t>·d。</w:t>
            </w:r>
          </w:p>
          <w:p w14:paraId="3489750E">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FF"/>
                <w:kern w:val="0"/>
                <w:sz w:val="21"/>
                <w:szCs w:val="21"/>
                <w:vertAlign w:val="baseline"/>
                <w:lang w:val="en-US" w:eastAsia="zh-CN" w:bidi="ar"/>
              </w:rPr>
            </w:pPr>
            <w:r>
              <w:rPr>
                <w:rFonts w:hint="eastAsia" w:ascii="宋体" w:hAnsi="宋体" w:eastAsia="宋体" w:cs="宋体"/>
                <w:color w:val="000000" w:themeColor="text1"/>
                <w:spacing w:val="5"/>
                <w:sz w:val="21"/>
                <w:szCs w:val="21"/>
                <w14:textFill>
                  <w14:solidFill>
                    <w14:schemeClr w14:val="tx1"/>
                  </w14:solidFill>
                </w14:textFill>
              </w:rPr>
              <w:t>②主要设备：2台低速潜水推进器（叶片直径：2200</w:t>
            </w:r>
            <w:r>
              <w:rPr>
                <w:rFonts w:hint="eastAsia" w:ascii="宋体" w:hAnsi="宋体" w:eastAsia="宋体" w:cs="宋体"/>
                <w:color w:val="000000" w:themeColor="text1"/>
                <w:sz w:val="21"/>
                <w:szCs w:val="21"/>
                <w14:textFill>
                  <w14:solidFill>
                    <w14:schemeClr w14:val="tx1"/>
                  </w14:solidFill>
                </w14:textFill>
              </w:rPr>
              <w:t>mm</w:t>
            </w:r>
            <w:r>
              <w:rPr>
                <w:rFonts w:hint="eastAsia" w:ascii="宋体" w:hAnsi="宋体" w:eastAsia="宋体" w:cs="宋体"/>
                <w:color w:val="000000" w:themeColor="text1"/>
                <w:spacing w:val="5"/>
                <w:sz w:val="21"/>
                <w:szCs w:val="21"/>
                <w14:textFill>
                  <w14:solidFill>
                    <w14:schemeClr w14:val="tx1"/>
                  </w14:solidFill>
                </w14:textFill>
              </w:rPr>
              <w:t>）、4台</w:t>
            </w:r>
            <w:r>
              <w:rPr>
                <w:rFonts w:hint="eastAsia" w:ascii="宋体" w:hAnsi="宋体" w:eastAsia="宋体" w:cs="宋体"/>
                <w:color w:val="000000" w:themeColor="text1"/>
                <w:spacing w:val="10"/>
                <w:sz w:val="21"/>
                <w:szCs w:val="21"/>
                <w14:textFill>
                  <w14:solidFill>
                    <w14:schemeClr w14:val="tx1"/>
                  </w14:solidFill>
                </w14:textFill>
              </w:rPr>
              <w:t>低速潜水推进器（叶片直径：2000</w:t>
            </w:r>
            <w:r>
              <w:rPr>
                <w:rFonts w:hint="eastAsia" w:ascii="宋体" w:hAnsi="宋体" w:eastAsia="宋体" w:cs="宋体"/>
                <w:color w:val="000000" w:themeColor="text1"/>
                <w:sz w:val="21"/>
                <w:szCs w:val="21"/>
                <w14:textFill>
                  <w14:solidFill>
                    <w14:schemeClr w14:val="tx1"/>
                  </w14:solidFill>
                </w14:textFill>
              </w:rPr>
              <w:t>mm</w:t>
            </w:r>
            <w:r>
              <w:rPr>
                <w:rFonts w:hint="eastAsia" w:ascii="宋体" w:hAnsi="宋体" w:eastAsia="宋体" w:cs="宋体"/>
                <w:color w:val="000000" w:themeColor="text1"/>
                <w:spacing w:val="10"/>
                <w:sz w:val="21"/>
                <w:szCs w:val="21"/>
                <w14:textFill>
                  <w14:solidFill>
                    <w14:schemeClr w14:val="tx1"/>
                  </w14:solidFill>
                </w14:textFill>
              </w:rPr>
              <w:t>）、3台高速潜水搅拌器</w:t>
            </w:r>
            <w:r>
              <w:rPr>
                <w:rFonts w:hint="eastAsia" w:ascii="宋体" w:hAnsi="宋体" w:eastAsia="宋体" w:cs="宋体"/>
                <w:color w:val="000000" w:themeColor="text1"/>
                <w:spacing w:val="5"/>
                <w:sz w:val="21"/>
                <w:szCs w:val="21"/>
                <w14:textFill>
                  <w14:solidFill>
                    <w14:schemeClr w14:val="tx1"/>
                  </w14:solidFill>
                </w14:textFill>
              </w:rPr>
              <w:t>（叶片直径：370</w:t>
            </w:r>
            <w:r>
              <w:rPr>
                <w:rFonts w:hint="eastAsia" w:ascii="宋体" w:hAnsi="宋体" w:eastAsia="宋体" w:cs="宋体"/>
                <w:color w:val="000000" w:themeColor="text1"/>
                <w:sz w:val="21"/>
                <w:szCs w:val="21"/>
                <w14:textFill>
                  <w14:solidFill>
                    <w14:schemeClr w14:val="tx1"/>
                  </w14:solidFill>
                </w14:textFill>
              </w:rPr>
              <w:t>mm</w:t>
            </w:r>
            <w:r>
              <w:rPr>
                <w:rFonts w:hint="eastAsia" w:ascii="宋体" w:hAnsi="宋体" w:eastAsia="宋体" w:cs="宋体"/>
                <w:color w:val="000000" w:themeColor="text1"/>
                <w:spacing w:val="5"/>
                <w:sz w:val="21"/>
                <w:szCs w:val="21"/>
                <w14:textFill>
                  <w14:solidFill>
                    <w14:schemeClr w14:val="tx1"/>
                  </w14:solidFill>
                </w14:textFill>
              </w:rPr>
              <w:t>）、1台内回流控制门、1台铸铁圆闸门、1</w:t>
            </w:r>
            <w:r>
              <w:rPr>
                <w:rFonts w:hint="eastAsia" w:ascii="宋体" w:hAnsi="宋体" w:eastAsia="宋体" w:cs="宋体"/>
                <w:color w:val="000000" w:themeColor="text1"/>
                <w:spacing w:val="7"/>
                <w:sz w:val="21"/>
                <w:szCs w:val="21"/>
                <w14:textFill>
                  <w14:solidFill>
                    <w14:schemeClr w14:val="tx1"/>
                  </w14:solidFill>
                </w14:textFill>
              </w:rPr>
              <w:t>台可调节堰门等。</w:t>
            </w:r>
          </w:p>
        </w:tc>
      </w:tr>
      <w:tr w14:paraId="5FDFE5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5" w:type="pct"/>
            <w:vMerge w:val="continue"/>
            <w:tcBorders>
              <w:tl2br w:val="nil"/>
              <w:tr2bl w:val="nil"/>
            </w:tcBorders>
            <w:vAlign w:val="center"/>
          </w:tcPr>
          <w:p w14:paraId="527FEA8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p>
        </w:tc>
        <w:tc>
          <w:tcPr>
            <w:tcW w:w="269" w:type="pct"/>
            <w:vMerge w:val="continue"/>
            <w:tcBorders>
              <w:tl2br w:val="nil"/>
              <w:tr2bl w:val="nil"/>
            </w:tcBorders>
            <w:vAlign w:val="center"/>
          </w:tcPr>
          <w:p w14:paraId="5A52552D">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p>
        </w:tc>
        <w:tc>
          <w:tcPr>
            <w:tcW w:w="560" w:type="pct"/>
            <w:tcBorders>
              <w:tl2br w:val="nil"/>
              <w:tr2bl w:val="nil"/>
            </w:tcBorders>
            <w:vAlign w:val="center"/>
          </w:tcPr>
          <w:p w14:paraId="47F1C38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二沉池配水井及污泥泵池</w:t>
            </w:r>
          </w:p>
        </w:tc>
        <w:tc>
          <w:tcPr>
            <w:tcW w:w="1672" w:type="pct"/>
            <w:tcBorders>
              <w:tl2br w:val="nil"/>
              <w:tr2bl w:val="nil"/>
            </w:tcBorders>
            <w:vAlign w:val="center"/>
          </w:tcPr>
          <w:p w14:paraId="70B86C6A">
            <w:pPr>
              <w:keepNext w:val="0"/>
              <w:keepLines w:val="0"/>
              <w:pageBreakBefore w:val="0"/>
              <w:widowControl/>
              <w:suppressLineNumbers w:val="0"/>
              <w:kinsoku/>
              <w:wordWrap/>
              <w:overflowPunct/>
              <w:topLinePunct w:val="0"/>
              <w:autoSpaceDE/>
              <w:autoSpaceDN/>
              <w:bidi w:val="0"/>
              <w:adjustRightInd/>
              <w:snapToGrid w:val="0"/>
              <w:spacing w:line="240" w:lineRule="auto"/>
              <w:ind w:left="0" w:right="0" w:firstLine="0"/>
              <w:jc w:val="both"/>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spacing w:val="5"/>
                <w:sz w:val="21"/>
                <w:szCs w:val="21"/>
                <w:lang w:val="en-US" w:eastAsia="zh-CN"/>
                <w14:textFill>
                  <w14:solidFill>
                    <w14:schemeClr w14:val="tx1"/>
                  </w14:solidFill>
                </w14:textFill>
              </w:rPr>
              <w:t>仅安装设备。主要设备：1台回流污泥泵、1台套筒阀（含启闭机）、1台铸铁镶铜圆闸门（含启闭机）、1台电动调节堰门（含启闭机、B×H=1500×500）、1台电动球阀（DN250）等。</w:t>
            </w:r>
          </w:p>
        </w:tc>
        <w:tc>
          <w:tcPr>
            <w:tcW w:w="458" w:type="pct"/>
            <w:tcBorders>
              <w:tl2br w:val="nil"/>
              <w:tr2bl w:val="nil"/>
            </w:tcBorders>
            <w:vAlign w:val="center"/>
          </w:tcPr>
          <w:p w14:paraId="62B987B9">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二阶段仅进行设备安装</w:t>
            </w:r>
          </w:p>
        </w:tc>
        <w:tc>
          <w:tcPr>
            <w:tcW w:w="1763" w:type="pct"/>
            <w:tcBorders>
              <w:tl2br w:val="nil"/>
              <w:tr2bl w:val="nil"/>
            </w:tcBorders>
            <w:vAlign w:val="center"/>
          </w:tcPr>
          <w:p w14:paraId="592168BB">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FF"/>
                <w:kern w:val="0"/>
                <w:sz w:val="21"/>
                <w:szCs w:val="21"/>
                <w:vertAlign w:val="baseline"/>
                <w:lang w:val="en-US" w:eastAsia="zh-CN" w:bidi="ar"/>
              </w:rPr>
            </w:pPr>
            <w:r>
              <w:rPr>
                <w:rFonts w:hint="eastAsia" w:ascii="宋体" w:hAnsi="宋体" w:eastAsia="宋体" w:cs="宋体"/>
                <w:color w:val="000000" w:themeColor="text1"/>
                <w:spacing w:val="5"/>
                <w:sz w:val="21"/>
                <w:szCs w:val="21"/>
                <w:lang w:val="en-US" w:eastAsia="zh-CN"/>
                <w14:textFill>
                  <w14:solidFill>
                    <w14:schemeClr w14:val="tx1"/>
                  </w14:solidFill>
                </w14:textFill>
              </w:rPr>
              <w:t>仅安装设备。主要设备：1台回流污泥泵、1台套筒阀（含启闭机）、1台铸铁镶铜圆闸门（含启闭机）、1台电动调节堰门（含启闭机、B×H=1500×500）、1台电动球阀（DN250）等。</w:t>
            </w:r>
          </w:p>
        </w:tc>
      </w:tr>
      <w:tr w14:paraId="6D99C0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5" w:type="pct"/>
            <w:vMerge w:val="continue"/>
            <w:tcBorders>
              <w:tl2br w:val="nil"/>
              <w:tr2bl w:val="nil"/>
            </w:tcBorders>
            <w:vAlign w:val="center"/>
          </w:tcPr>
          <w:p w14:paraId="61ABAD06">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p>
        </w:tc>
        <w:tc>
          <w:tcPr>
            <w:tcW w:w="269" w:type="pct"/>
            <w:vMerge w:val="continue"/>
            <w:tcBorders>
              <w:tl2br w:val="nil"/>
              <w:tr2bl w:val="nil"/>
            </w:tcBorders>
            <w:vAlign w:val="center"/>
          </w:tcPr>
          <w:p w14:paraId="5AF73E4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p>
        </w:tc>
        <w:tc>
          <w:tcPr>
            <w:tcW w:w="560" w:type="pct"/>
            <w:tcBorders>
              <w:tl2br w:val="nil"/>
              <w:tr2bl w:val="nil"/>
            </w:tcBorders>
            <w:vAlign w:val="center"/>
          </w:tcPr>
          <w:p w14:paraId="74EE349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二沉池</w:t>
            </w:r>
          </w:p>
        </w:tc>
        <w:tc>
          <w:tcPr>
            <w:tcW w:w="1672" w:type="pct"/>
            <w:tcBorders>
              <w:tl2br w:val="nil"/>
              <w:tr2bl w:val="nil"/>
            </w:tcBorders>
            <w:vAlign w:val="center"/>
          </w:tcPr>
          <w:p w14:paraId="4D90CE45">
            <w:pPr>
              <w:keepNext w:val="0"/>
              <w:keepLines w:val="0"/>
              <w:pageBreakBefore w:val="0"/>
              <w:widowControl/>
              <w:suppressLineNumbers w:val="0"/>
              <w:kinsoku/>
              <w:wordWrap/>
              <w:overflowPunct/>
              <w:topLinePunct w:val="0"/>
              <w:autoSpaceDE/>
              <w:autoSpaceDN/>
              <w:bidi w:val="0"/>
              <w:adjustRightInd/>
              <w:snapToGrid w:val="0"/>
              <w:spacing w:line="240" w:lineRule="auto"/>
              <w:ind w:left="0" w:right="0" w:firstLine="0"/>
              <w:jc w:val="both"/>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spacing w:val="5"/>
                <w:sz w:val="21"/>
                <w:szCs w:val="21"/>
                <w:lang w:val="en-US" w:eastAsia="zh-CN"/>
                <w14:textFill>
                  <w14:solidFill>
                    <w14:schemeClr w14:val="tx1"/>
                  </w14:solidFill>
                </w14:textFill>
              </w:rPr>
              <w:t>仅安装设备。主要设备：1套周边传动刮泥机（刮泥机直径26m、电机功率：P＝0.37×2kW）、1套进水导流筒、326米出水溢流堰、1个浮渣斗等。</w:t>
            </w:r>
          </w:p>
        </w:tc>
        <w:tc>
          <w:tcPr>
            <w:tcW w:w="458" w:type="pct"/>
            <w:tcBorders>
              <w:tl2br w:val="nil"/>
              <w:tr2bl w:val="nil"/>
            </w:tcBorders>
            <w:vAlign w:val="center"/>
          </w:tcPr>
          <w:p w14:paraId="398AAC33">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二阶段仅进行设备安装</w:t>
            </w:r>
          </w:p>
        </w:tc>
        <w:tc>
          <w:tcPr>
            <w:tcW w:w="1763" w:type="pct"/>
            <w:tcBorders>
              <w:tl2br w:val="nil"/>
              <w:tr2bl w:val="nil"/>
            </w:tcBorders>
            <w:vAlign w:val="center"/>
          </w:tcPr>
          <w:p w14:paraId="61097A60">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FF"/>
                <w:kern w:val="0"/>
                <w:sz w:val="21"/>
                <w:szCs w:val="21"/>
                <w:vertAlign w:val="baseline"/>
                <w:lang w:val="en-US" w:eastAsia="zh-CN" w:bidi="ar"/>
              </w:rPr>
            </w:pPr>
            <w:r>
              <w:rPr>
                <w:rFonts w:hint="eastAsia" w:ascii="宋体" w:hAnsi="宋体" w:eastAsia="宋体" w:cs="宋体"/>
                <w:color w:val="000000" w:themeColor="text1"/>
                <w:spacing w:val="5"/>
                <w:sz w:val="21"/>
                <w:szCs w:val="21"/>
                <w:lang w:val="en-US" w:eastAsia="zh-CN"/>
                <w14:textFill>
                  <w14:solidFill>
                    <w14:schemeClr w14:val="tx1"/>
                  </w14:solidFill>
                </w14:textFill>
              </w:rPr>
              <w:t>仅安装设备。主要设备：1套周边传动刮泥机（刮泥机直径26m、电机功率：P＝0.37×2kW）、1套进水导流筒、326米出水溢流堰、1个浮渣斗等。</w:t>
            </w:r>
          </w:p>
        </w:tc>
      </w:tr>
      <w:tr w14:paraId="1EC5EC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5" w:type="pct"/>
            <w:vMerge w:val="continue"/>
            <w:tcBorders>
              <w:tl2br w:val="nil"/>
              <w:tr2bl w:val="nil"/>
            </w:tcBorders>
            <w:vAlign w:val="center"/>
          </w:tcPr>
          <w:p w14:paraId="5EE0E5E8">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p>
        </w:tc>
        <w:tc>
          <w:tcPr>
            <w:tcW w:w="269" w:type="pct"/>
            <w:vMerge w:val="continue"/>
            <w:tcBorders>
              <w:tl2br w:val="nil"/>
              <w:tr2bl w:val="nil"/>
            </w:tcBorders>
            <w:vAlign w:val="center"/>
          </w:tcPr>
          <w:p w14:paraId="083F68E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p>
        </w:tc>
        <w:tc>
          <w:tcPr>
            <w:tcW w:w="560" w:type="pct"/>
            <w:tcBorders>
              <w:tl2br w:val="nil"/>
              <w:tr2bl w:val="nil"/>
            </w:tcBorders>
            <w:vAlign w:val="center"/>
          </w:tcPr>
          <w:p w14:paraId="7C6032F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磁混凝除氟沉淀系统</w:t>
            </w:r>
          </w:p>
        </w:tc>
        <w:tc>
          <w:tcPr>
            <w:tcW w:w="1672" w:type="pct"/>
            <w:tcBorders>
              <w:tl2br w:val="nil"/>
              <w:tr2bl w:val="nil"/>
            </w:tcBorders>
            <w:vAlign w:val="center"/>
          </w:tcPr>
          <w:p w14:paraId="21BF8430">
            <w:pPr>
              <w:keepNext w:val="0"/>
              <w:keepLines w:val="0"/>
              <w:pageBreakBefore w:val="0"/>
              <w:widowControl/>
              <w:suppressLineNumbers w:val="0"/>
              <w:kinsoku/>
              <w:wordWrap/>
              <w:overflowPunct/>
              <w:topLinePunct w:val="0"/>
              <w:autoSpaceDE/>
              <w:autoSpaceDN/>
              <w:bidi w:val="0"/>
              <w:adjustRightInd/>
              <w:snapToGrid w:val="0"/>
              <w:spacing w:line="240" w:lineRule="auto"/>
              <w:ind w:left="0" w:right="0" w:firstLine="0"/>
              <w:jc w:val="center"/>
              <w:textAlignment w:val="auto"/>
              <w:rPr>
                <w:rFonts w:hint="eastAsia" w:ascii="宋体" w:hAnsi="宋体" w:eastAsia="宋体" w:cs="宋体"/>
                <w:color w:val="000000" w:themeColor="text1"/>
                <w:spacing w:val="5"/>
                <w:sz w:val="21"/>
                <w:szCs w:val="21"/>
                <w:lang w:val="en-US" w:eastAsia="zh-CN"/>
                <w14:textFill>
                  <w14:solidFill>
                    <w14:schemeClr w14:val="tx1"/>
                  </w14:solidFill>
                </w14:textFill>
              </w:rPr>
            </w:pPr>
            <w:r>
              <w:rPr>
                <w:rFonts w:hint="eastAsia" w:ascii="宋体" w:hAnsi="宋体" w:eastAsia="宋体" w:cs="宋体"/>
                <w:color w:val="000000" w:themeColor="text1"/>
                <w:spacing w:val="5"/>
                <w:sz w:val="21"/>
                <w:szCs w:val="21"/>
                <w:lang w:val="en-US" w:eastAsia="zh-CN"/>
                <w14:textFill>
                  <w14:solidFill>
                    <w14:schemeClr w14:val="tx1"/>
                  </w14:solidFill>
                </w14:textFill>
              </w:rPr>
              <w:t>/</w:t>
            </w:r>
          </w:p>
        </w:tc>
        <w:tc>
          <w:tcPr>
            <w:tcW w:w="458" w:type="pct"/>
            <w:tcBorders>
              <w:tl2br w:val="nil"/>
              <w:tr2bl w:val="nil"/>
            </w:tcBorders>
            <w:vAlign w:val="center"/>
          </w:tcPr>
          <w:p w14:paraId="66208E4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spacing w:val="5"/>
                <w:sz w:val="21"/>
                <w:szCs w:val="21"/>
                <w:lang w:val="en-US" w:eastAsia="zh-CN"/>
                <w14:textFill>
                  <w14:solidFill>
                    <w14:schemeClr w14:val="tx1"/>
                  </w14:solidFill>
                </w14:textFill>
              </w:rPr>
              <w:t>/</w:t>
            </w:r>
          </w:p>
        </w:tc>
        <w:tc>
          <w:tcPr>
            <w:tcW w:w="1763" w:type="pct"/>
            <w:tcBorders>
              <w:tl2br w:val="nil"/>
              <w:tr2bl w:val="nil"/>
            </w:tcBorders>
            <w:vAlign w:val="center"/>
          </w:tcPr>
          <w:p w14:paraId="611FC80D">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00" w:themeColor="text1"/>
                <w:spacing w:val="5"/>
                <w:sz w:val="21"/>
                <w:szCs w:val="21"/>
                <w:lang w:val="en-US" w:eastAsia="zh-CN"/>
                <w14:textFill>
                  <w14:solidFill>
                    <w14:schemeClr w14:val="tx1"/>
                  </w14:solidFill>
                </w14:textFill>
              </w:rPr>
            </w:pPr>
            <w:r>
              <w:rPr>
                <w:rFonts w:hint="eastAsia" w:ascii="宋体" w:hAnsi="宋体" w:eastAsia="宋体" w:cs="宋体"/>
                <w:color w:val="000000" w:themeColor="text1"/>
                <w:spacing w:val="5"/>
                <w:sz w:val="21"/>
                <w:szCs w:val="21"/>
                <w:lang w:val="en-US" w:eastAsia="zh-CN"/>
                <w14:textFill>
                  <w14:solidFill>
                    <w14:schemeClr w14:val="tx1"/>
                  </w14:solidFill>
                </w14:textFill>
              </w:rPr>
              <w:t>污水处理采用“</w:t>
            </w: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磁混凝除氟沉淀</w:t>
            </w:r>
            <w:r>
              <w:rPr>
                <w:rFonts w:hint="eastAsia" w:ascii="宋体" w:hAnsi="宋体" w:eastAsia="宋体" w:cs="宋体"/>
                <w:color w:val="000000" w:themeColor="text1"/>
                <w:spacing w:val="5"/>
                <w:sz w:val="21"/>
                <w:szCs w:val="21"/>
                <w:lang w:val="en-US" w:eastAsia="zh-CN"/>
                <w14:textFill>
                  <w14:solidFill>
                    <w14:schemeClr w14:val="tx1"/>
                  </w14:solidFill>
                </w14:textFill>
              </w:rPr>
              <w:t>”，主要建筑包括一体化污水处理设备、沉淀池、磁分离系统加药间等。深度除氟站设计仅针对含氟废水进行处理，规模1万m</w:t>
            </w:r>
            <w:r>
              <w:rPr>
                <w:rFonts w:hint="eastAsia" w:ascii="宋体" w:hAnsi="宋体" w:eastAsia="宋体" w:cs="宋体"/>
                <w:color w:val="000000" w:themeColor="text1"/>
                <w:spacing w:val="5"/>
                <w:sz w:val="21"/>
                <w:szCs w:val="21"/>
                <w:vertAlign w:val="superscript"/>
                <w:lang w:val="en-US" w:eastAsia="zh-CN"/>
                <w14:textFill>
                  <w14:solidFill>
                    <w14:schemeClr w14:val="tx1"/>
                  </w14:solidFill>
                </w14:textFill>
              </w:rPr>
              <w:t>3</w:t>
            </w:r>
            <w:r>
              <w:rPr>
                <w:rFonts w:hint="eastAsia" w:ascii="宋体" w:hAnsi="宋体" w:eastAsia="宋体" w:cs="宋体"/>
                <w:color w:val="000000" w:themeColor="text1"/>
                <w:spacing w:val="5"/>
                <w:sz w:val="21"/>
                <w:szCs w:val="21"/>
                <w:lang w:val="en-US" w:eastAsia="zh-CN"/>
                <w14:textFill>
                  <w14:solidFill>
                    <w14:schemeClr w14:val="tx1"/>
                  </w14:solidFill>
                </w14:textFill>
              </w:rPr>
              <w:t>/d。</w:t>
            </w:r>
          </w:p>
        </w:tc>
      </w:tr>
      <w:tr w14:paraId="3F02DE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5" w:type="pct"/>
            <w:vMerge w:val="continue"/>
            <w:tcBorders>
              <w:tl2br w:val="nil"/>
              <w:tr2bl w:val="nil"/>
            </w:tcBorders>
            <w:vAlign w:val="center"/>
          </w:tcPr>
          <w:p w14:paraId="5F817DF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p>
        </w:tc>
        <w:tc>
          <w:tcPr>
            <w:tcW w:w="269" w:type="pct"/>
            <w:vMerge w:val="continue"/>
            <w:tcBorders>
              <w:tl2br w:val="nil"/>
              <w:tr2bl w:val="nil"/>
            </w:tcBorders>
            <w:vAlign w:val="center"/>
          </w:tcPr>
          <w:p w14:paraId="747E1937">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p>
        </w:tc>
        <w:tc>
          <w:tcPr>
            <w:tcW w:w="560" w:type="pct"/>
            <w:tcBorders>
              <w:tl2br w:val="nil"/>
              <w:tr2bl w:val="nil"/>
            </w:tcBorders>
            <w:vAlign w:val="center"/>
          </w:tcPr>
          <w:p w14:paraId="2E18428A">
            <w:pPr>
              <w:keepNext w:val="0"/>
              <w:keepLines w:val="0"/>
              <w:pageBreakBefore w:val="0"/>
              <w:widowControl/>
              <w:suppressLineNumbers w:val="0"/>
              <w:kinsoku/>
              <w:wordWrap/>
              <w:overflowPunct/>
              <w:topLinePunct w:val="0"/>
              <w:autoSpaceDE/>
              <w:autoSpaceDN/>
              <w:bidi w:val="0"/>
              <w:adjustRightInd/>
              <w:snapToGrid w:val="0"/>
              <w:spacing w:line="240" w:lineRule="auto"/>
              <w:ind w:left="0" w:right="0" w:firstLine="0"/>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spacing w:val="5"/>
                <w:sz w:val="21"/>
                <w:szCs w:val="21"/>
                <w:lang w:val="en-US" w:eastAsia="zh-CN"/>
                <w14:textFill>
                  <w14:solidFill>
                    <w14:schemeClr w14:val="tx1"/>
                  </w14:solidFill>
                </w14:textFill>
              </w:rPr>
              <w:t>二次提升泵房</w:t>
            </w:r>
          </w:p>
        </w:tc>
        <w:tc>
          <w:tcPr>
            <w:tcW w:w="1672" w:type="pct"/>
            <w:tcBorders>
              <w:tl2br w:val="nil"/>
              <w:tr2bl w:val="nil"/>
            </w:tcBorders>
            <w:vAlign w:val="center"/>
          </w:tcPr>
          <w:p w14:paraId="6B1F1491">
            <w:pPr>
              <w:keepNext w:val="0"/>
              <w:keepLines w:val="0"/>
              <w:pageBreakBefore w:val="0"/>
              <w:widowControl/>
              <w:suppressLineNumbers w:val="0"/>
              <w:kinsoku/>
              <w:wordWrap/>
              <w:overflowPunct/>
              <w:topLinePunct w:val="0"/>
              <w:autoSpaceDE/>
              <w:autoSpaceDN/>
              <w:bidi w:val="0"/>
              <w:adjustRightInd/>
              <w:snapToGrid w:val="0"/>
              <w:spacing w:line="240" w:lineRule="auto"/>
              <w:ind w:left="0" w:right="0" w:firstLine="0"/>
              <w:jc w:val="both"/>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spacing w:val="5"/>
                <w:sz w:val="21"/>
                <w:szCs w:val="21"/>
                <w:lang w:val="en-US" w:eastAsia="zh-CN"/>
                <w14:textFill>
                  <w14:solidFill>
                    <w14:schemeClr w14:val="tx1"/>
                  </w14:solidFill>
                </w14:textFill>
              </w:rPr>
              <w:t>仅安装设备。主要设备：1台潜污泵（大泵）、1套电动球阀、1套止回阀等。</w:t>
            </w:r>
          </w:p>
        </w:tc>
        <w:tc>
          <w:tcPr>
            <w:tcW w:w="458" w:type="pct"/>
            <w:tcBorders>
              <w:tl2br w:val="nil"/>
              <w:tr2bl w:val="nil"/>
            </w:tcBorders>
            <w:vAlign w:val="center"/>
          </w:tcPr>
          <w:p w14:paraId="2DCECB96">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二阶段仅进行设备安装</w:t>
            </w:r>
          </w:p>
        </w:tc>
        <w:tc>
          <w:tcPr>
            <w:tcW w:w="1763" w:type="pct"/>
            <w:tcBorders>
              <w:tl2br w:val="nil"/>
              <w:tr2bl w:val="nil"/>
            </w:tcBorders>
            <w:vAlign w:val="center"/>
          </w:tcPr>
          <w:p w14:paraId="7849C21D">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FF"/>
                <w:kern w:val="0"/>
                <w:sz w:val="21"/>
                <w:szCs w:val="21"/>
                <w:vertAlign w:val="baseline"/>
                <w:lang w:val="en-US" w:eastAsia="zh-CN" w:bidi="ar"/>
              </w:rPr>
            </w:pPr>
            <w:r>
              <w:rPr>
                <w:rFonts w:hint="eastAsia" w:ascii="宋体" w:hAnsi="宋体" w:eastAsia="宋体" w:cs="宋体"/>
                <w:color w:val="000000" w:themeColor="text1"/>
                <w:spacing w:val="5"/>
                <w:sz w:val="21"/>
                <w:szCs w:val="21"/>
                <w:lang w:val="en-US" w:eastAsia="zh-CN"/>
                <w14:textFill>
                  <w14:solidFill>
                    <w14:schemeClr w14:val="tx1"/>
                  </w14:solidFill>
                </w14:textFill>
              </w:rPr>
              <w:t>仅安装设备。主要设备：1台潜污泵（大泵）、1套电动球阀、1套止回阀等。</w:t>
            </w:r>
          </w:p>
        </w:tc>
      </w:tr>
      <w:tr w14:paraId="36FA1F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5" w:type="pct"/>
            <w:vMerge w:val="continue"/>
            <w:tcBorders>
              <w:tl2br w:val="nil"/>
              <w:tr2bl w:val="nil"/>
            </w:tcBorders>
            <w:vAlign w:val="center"/>
          </w:tcPr>
          <w:p w14:paraId="136A526D">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p>
        </w:tc>
        <w:tc>
          <w:tcPr>
            <w:tcW w:w="269" w:type="pct"/>
            <w:vMerge w:val="continue"/>
            <w:tcBorders>
              <w:tl2br w:val="nil"/>
              <w:tr2bl w:val="nil"/>
            </w:tcBorders>
            <w:vAlign w:val="center"/>
          </w:tcPr>
          <w:p w14:paraId="08B04DC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p>
        </w:tc>
        <w:tc>
          <w:tcPr>
            <w:tcW w:w="560" w:type="pct"/>
            <w:tcBorders>
              <w:tl2br w:val="nil"/>
              <w:tr2bl w:val="nil"/>
            </w:tcBorders>
            <w:vAlign w:val="center"/>
          </w:tcPr>
          <w:p w14:paraId="0DBD5349">
            <w:pPr>
              <w:keepNext w:val="0"/>
              <w:keepLines w:val="0"/>
              <w:pageBreakBefore w:val="0"/>
              <w:widowControl/>
              <w:suppressLineNumbers w:val="0"/>
              <w:kinsoku/>
              <w:wordWrap/>
              <w:overflowPunct/>
              <w:topLinePunct w:val="0"/>
              <w:autoSpaceDE/>
              <w:autoSpaceDN/>
              <w:bidi w:val="0"/>
              <w:adjustRightInd/>
              <w:snapToGrid w:val="0"/>
              <w:spacing w:line="240" w:lineRule="auto"/>
              <w:ind w:left="0" w:right="0" w:firstLine="0"/>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spacing w:val="5"/>
                <w:sz w:val="21"/>
                <w:szCs w:val="21"/>
                <w:lang w:val="en-US" w:eastAsia="zh-CN"/>
                <w14:textFill>
                  <w14:solidFill>
                    <w14:schemeClr w14:val="tx1"/>
                  </w14:solidFill>
                </w14:textFill>
              </w:rPr>
              <w:t>重介质高效沉淀池</w:t>
            </w:r>
          </w:p>
        </w:tc>
        <w:tc>
          <w:tcPr>
            <w:tcW w:w="1672" w:type="pct"/>
            <w:tcBorders>
              <w:tl2br w:val="nil"/>
              <w:tr2bl w:val="nil"/>
            </w:tcBorders>
            <w:vAlign w:val="center"/>
          </w:tcPr>
          <w:p w14:paraId="675535E2">
            <w:pPr>
              <w:keepNext w:val="0"/>
              <w:keepLines w:val="0"/>
              <w:widowControl/>
              <w:suppressLineNumbers w:val="0"/>
              <w:jc w:val="both"/>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spacing w:val="5"/>
                <w:sz w:val="21"/>
                <w:szCs w:val="21"/>
                <w:lang w:val="en-US" w:eastAsia="zh-CN"/>
                <w14:textFill>
                  <w14:solidFill>
                    <w14:schemeClr w14:val="tx1"/>
                  </w14:solidFill>
                </w14:textFill>
              </w:rPr>
              <w:t>仅安装设备。主要设备：1台混凝池搅拌器、1台刮泥机、1台磁介质混合搅拌机、1台混凝区搅拌机、1台絮凝池搅拌器、1台高剪切机、1台磁粉回收泵、1台污泥回流泵、8套集水槽。</w:t>
            </w:r>
          </w:p>
        </w:tc>
        <w:tc>
          <w:tcPr>
            <w:tcW w:w="458" w:type="pct"/>
            <w:tcBorders>
              <w:tl2br w:val="nil"/>
              <w:tr2bl w:val="nil"/>
            </w:tcBorders>
            <w:vAlign w:val="center"/>
          </w:tcPr>
          <w:p w14:paraId="06C13D89">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二阶段仅进行设备安装</w:t>
            </w:r>
          </w:p>
        </w:tc>
        <w:tc>
          <w:tcPr>
            <w:tcW w:w="1763" w:type="pct"/>
            <w:tcBorders>
              <w:tl2br w:val="nil"/>
              <w:tr2bl w:val="nil"/>
            </w:tcBorders>
            <w:vAlign w:val="center"/>
          </w:tcPr>
          <w:p w14:paraId="558E86B2">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FF"/>
                <w:kern w:val="0"/>
                <w:sz w:val="21"/>
                <w:szCs w:val="21"/>
                <w:vertAlign w:val="baseline"/>
                <w:lang w:val="en-US" w:eastAsia="zh-CN" w:bidi="ar"/>
              </w:rPr>
            </w:pPr>
            <w:r>
              <w:rPr>
                <w:rFonts w:hint="eastAsia" w:ascii="宋体" w:hAnsi="宋体" w:eastAsia="宋体" w:cs="宋体"/>
                <w:color w:val="000000" w:themeColor="text1"/>
                <w:spacing w:val="5"/>
                <w:sz w:val="21"/>
                <w:szCs w:val="21"/>
                <w:lang w:val="en-US" w:eastAsia="zh-CN"/>
                <w14:textFill>
                  <w14:solidFill>
                    <w14:schemeClr w14:val="tx1"/>
                  </w14:solidFill>
                </w14:textFill>
              </w:rPr>
              <w:t>仅安装设备。主要设备：1台混凝池搅拌器、1台刮泥机、1台磁介质混合搅拌机、1台混凝区搅拌机、1台絮凝池搅拌器、1台高剪切机、1台磁粉回收泵、1台污泥回流泵、8套集水槽。</w:t>
            </w:r>
          </w:p>
        </w:tc>
      </w:tr>
      <w:tr w14:paraId="4F315A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5" w:type="pct"/>
            <w:vMerge w:val="continue"/>
            <w:tcBorders>
              <w:tl2br w:val="nil"/>
              <w:tr2bl w:val="nil"/>
            </w:tcBorders>
            <w:vAlign w:val="center"/>
          </w:tcPr>
          <w:p w14:paraId="184292E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p>
        </w:tc>
        <w:tc>
          <w:tcPr>
            <w:tcW w:w="269" w:type="pct"/>
            <w:vMerge w:val="continue"/>
            <w:tcBorders>
              <w:tl2br w:val="nil"/>
              <w:tr2bl w:val="nil"/>
            </w:tcBorders>
            <w:vAlign w:val="center"/>
          </w:tcPr>
          <w:p w14:paraId="6F3369A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p>
        </w:tc>
        <w:tc>
          <w:tcPr>
            <w:tcW w:w="560" w:type="pct"/>
            <w:tcBorders>
              <w:tl2br w:val="nil"/>
              <w:tr2bl w:val="nil"/>
            </w:tcBorders>
            <w:vAlign w:val="center"/>
          </w:tcPr>
          <w:p w14:paraId="5651503F">
            <w:pPr>
              <w:keepNext w:val="0"/>
              <w:keepLines w:val="0"/>
              <w:pageBreakBefore w:val="0"/>
              <w:widowControl/>
              <w:suppressLineNumbers w:val="0"/>
              <w:kinsoku/>
              <w:wordWrap/>
              <w:overflowPunct/>
              <w:topLinePunct w:val="0"/>
              <w:autoSpaceDE/>
              <w:autoSpaceDN/>
              <w:bidi w:val="0"/>
              <w:adjustRightInd/>
              <w:snapToGrid w:val="0"/>
              <w:spacing w:line="240" w:lineRule="auto"/>
              <w:ind w:left="0" w:right="0" w:firstLine="0"/>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spacing w:val="5"/>
                <w:sz w:val="21"/>
                <w:szCs w:val="21"/>
                <w:lang w:val="en-US" w:eastAsia="zh-CN"/>
                <w14:textFill>
                  <w14:solidFill>
                    <w14:schemeClr w14:val="tx1"/>
                  </w14:solidFill>
                </w14:textFill>
              </w:rPr>
              <w:t>反硝化深床滤池</w:t>
            </w:r>
          </w:p>
        </w:tc>
        <w:tc>
          <w:tcPr>
            <w:tcW w:w="1672" w:type="pct"/>
            <w:tcBorders>
              <w:tl2br w:val="nil"/>
              <w:tr2bl w:val="nil"/>
            </w:tcBorders>
            <w:vAlign w:val="center"/>
          </w:tcPr>
          <w:p w14:paraId="481C61D3">
            <w:pPr>
              <w:keepNext w:val="0"/>
              <w:keepLines w:val="0"/>
              <w:widowControl/>
              <w:suppressLineNumbers w:val="0"/>
              <w:jc w:val="both"/>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spacing w:val="5"/>
                <w:sz w:val="21"/>
                <w:szCs w:val="21"/>
                <w:lang w:val="en-US" w:eastAsia="zh-CN"/>
                <w14:textFill>
                  <w14:solidFill>
                    <w14:schemeClr w14:val="tx1"/>
                  </w14:solidFill>
                </w14:textFill>
              </w:rPr>
              <w:t>仅安装设备。主要设备：66m</w:t>
            </w:r>
            <w:r>
              <w:rPr>
                <w:rFonts w:hint="eastAsia" w:ascii="宋体" w:hAnsi="宋体" w:eastAsia="宋体" w:cs="宋体"/>
                <w:color w:val="000000" w:themeColor="text1"/>
                <w:spacing w:val="5"/>
                <w:sz w:val="21"/>
                <w:szCs w:val="21"/>
                <w:vertAlign w:val="superscript"/>
                <w:lang w:val="en-US" w:eastAsia="zh-CN"/>
                <w14:textFill>
                  <w14:solidFill>
                    <w14:schemeClr w14:val="tx1"/>
                  </w14:solidFill>
                </w14:textFill>
              </w:rPr>
              <w:t>3</w:t>
            </w:r>
            <w:r>
              <w:rPr>
                <w:rFonts w:hint="eastAsia" w:ascii="宋体" w:hAnsi="宋体" w:eastAsia="宋体" w:cs="宋体"/>
                <w:color w:val="000000" w:themeColor="text1"/>
                <w:spacing w:val="5"/>
                <w:sz w:val="21"/>
                <w:szCs w:val="21"/>
                <w:lang w:val="en-US" w:eastAsia="zh-CN"/>
                <w14:textFill>
                  <w14:solidFill>
                    <w14:schemeClr w14:val="tx1"/>
                  </w14:solidFill>
                </w14:textFill>
              </w:rPr>
              <w:t>石英砂滤料、14m</w:t>
            </w:r>
            <w:r>
              <w:rPr>
                <w:rFonts w:hint="eastAsia" w:ascii="宋体" w:hAnsi="宋体" w:eastAsia="宋体" w:cs="宋体"/>
                <w:color w:val="000000" w:themeColor="text1"/>
                <w:spacing w:val="5"/>
                <w:sz w:val="21"/>
                <w:szCs w:val="21"/>
                <w:vertAlign w:val="superscript"/>
                <w:lang w:val="en-US" w:eastAsia="zh-CN"/>
                <w14:textFill>
                  <w14:solidFill>
                    <w14:schemeClr w14:val="tx1"/>
                  </w14:solidFill>
                </w14:textFill>
              </w:rPr>
              <w:t>3</w:t>
            </w:r>
            <w:r>
              <w:rPr>
                <w:rFonts w:hint="eastAsia" w:ascii="宋体" w:hAnsi="宋体" w:eastAsia="宋体" w:cs="宋体"/>
                <w:color w:val="000000" w:themeColor="text1"/>
                <w:spacing w:val="5"/>
                <w:sz w:val="21"/>
                <w:szCs w:val="21"/>
                <w:lang w:val="en-US" w:eastAsia="zh-CN"/>
                <w14:textFill>
                  <w14:solidFill>
                    <w14:schemeClr w14:val="tx1"/>
                  </w14:solidFill>
                </w14:textFill>
              </w:rPr>
              <w:t>承托层（天然鹅卵石）、1套滤砖及附件、1套配气管。</w:t>
            </w:r>
          </w:p>
        </w:tc>
        <w:tc>
          <w:tcPr>
            <w:tcW w:w="458" w:type="pct"/>
            <w:tcBorders>
              <w:tl2br w:val="nil"/>
              <w:tr2bl w:val="nil"/>
            </w:tcBorders>
            <w:vAlign w:val="center"/>
          </w:tcPr>
          <w:p w14:paraId="0B7F4CE4">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二阶段仅进行设备安装</w:t>
            </w:r>
          </w:p>
        </w:tc>
        <w:tc>
          <w:tcPr>
            <w:tcW w:w="1763" w:type="pct"/>
            <w:tcBorders>
              <w:tl2br w:val="nil"/>
              <w:tr2bl w:val="nil"/>
            </w:tcBorders>
            <w:vAlign w:val="center"/>
          </w:tcPr>
          <w:p w14:paraId="2881F669">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FF"/>
                <w:kern w:val="0"/>
                <w:sz w:val="21"/>
                <w:szCs w:val="21"/>
                <w:vertAlign w:val="baseline"/>
                <w:lang w:val="en-US" w:eastAsia="zh-CN" w:bidi="ar"/>
              </w:rPr>
            </w:pPr>
            <w:r>
              <w:rPr>
                <w:rFonts w:hint="eastAsia" w:ascii="宋体" w:hAnsi="宋体" w:eastAsia="宋体" w:cs="宋体"/>
                <w:color w:val="000000" w:themeColor="text1"/>
                <w:spacing w:val="5"/>
                <w:sz w:val="21"/>
                <w:szCs w:val="21"/>
                <w:lang w:val="en-US" w:eastAsia="zh-CN"/>
                <w14:textFill>
                  <w14:solidFill>
                    <w14:schemeClr w14:val="tx1"/>
                  </w14:solidFill>
                </w14:textFill>
              </w:rPr>
              <w:t>仅安装设备。主要设备：66m</w:t>
            </w:r>
            <w:r>
              <w:rPr>
                <w:rFonts w:hint="eastAsia" w:ascii="宋体" w:hAnsi="宋体" w:eastAsia="宋体" w:cs="宋体"/>
                <w:color w:val="000000" w:themeColor="text1"/>
                <w:spacing w:val="5"/>
                <w:sz w:val="21"/>
                <w:szCs w:val="21"/>
                <w:vertAlign w:val="superscript"/>
                <w:lang w:val="en-US" w:eastAsia="zh-CN"/>
                <w14:textFill>
                  <w14:solidFill>
                    <w14:schemeClr w14:val="tx1"/>
                  </w14:solidFill>
                </w14:textFill>
              </w:rPr>
              <w:t>3</w:t>
            </w:r>
            <w:r>
              <w:rPr>
                <w:rFonts w:hint="eastAsia" w:ascii="宋体" w:hAnsi="宋体" w:eastAsia="宋体" w:cs="宋体"/>
                <w:color w:val="000000" w:themeColor="text1"/>
                <w:spacing w:val="5"/>
                <w:sz w:val="21"/>
                <w:szCs w:val="21"/>
                <w:lang w:val="en-US" w:eastAsia="zh-CN"/>
                <w14:textFill>
                  <w14:solidFill>
                    <w14:schemeClr w14:val="tx1"/>
                  </w14:solidFill>
                </w14:textFill>
              </w:rPr>
              <w:t>石英砂滤料、14m</w:t>
            </w:r>
            <w:r>
              <w:rPr>
                <w:rFonts w:hint="eastAsia" w:ascii="宋体" w:hAnsi="宋体" w:eastAsia="宋体" w:cs="宋体"/>
                <w:color w:val="000000" w:themeColor="text1"/>
                <w:spacing w:val="5"/>
                <w:sz w:val="21"/>
                <w:szCs w:val="21"/>
                <w:vertAlign w:val="superscript"/>
                <w:lang w:val="en-US" w:eastAsia="zh-CN"/>
                <w14:textFill>
                  <w14:solidFill>
                    <w14:schemeClr w14:val="tx1"/>
                  </w14:solidFill>
                </w14:textFill>
              </w:rPr>
              <w:t>3</w:t>
            </w:r>
            <w:r>
              <w:rPr>
                <w:rFonts w:hint="eastAsia" w:ascii="宋体" w:hAnsi="宋体" w:eastAsia="宋体" w:cs="宋体"/>
                <w:color w:val="000000" w:themeColor="text1"/>
                <w:spacing w:val="5"/>
                <w:sz w:val="21"/>
                <w:szCs w:val="21"/>
                <w:lang w:val="en-US" w:eastAsia="zh-CN"/>
                <w14:textFill>
                  <w14:solidFill>
                    <w14:schemeClr w14:val="tx1"/>
                  </w14:solidFill>
                </w14:textFill>
              </w:rPr>
              <w:t>承托层（天然鹅卵石）、1套滤砖及附件、1套配气管。</w:t>
            </w:r>
          </w:p>
        </w:tc>
      </w:tr>
      <w:tr w14:paraId="5CA272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5" w:type="pct"/>
            <w:vMerge w:val="continue"/>
            <w:tcBorders>
              <w:tl2br w:val="nil"/>
              <w:tr2bl w:val="nil"/>
            </w:tcBorders>
            <w:vAlign w:val="center"/>
          </w:tcPr>
          <w:p w14:paraId="054532F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p>
        </w:tc>
        <w:tc>
          <w:tcPr>
            <w:tcW w:w="269" w:type="pct"/>
            <w:vMerge w:val="continue"/>
            <w:tcBorders>
              <w:tl2br w:val="nil"/>
              <w:tr2bl w:val="nil"/>
            </w:tcBorders>
            <w:vAlign w:val="center"/>
          </w:tcPr>
          <w:p w14:paraId="0705C8C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p>
        </w:tc>
        <w:tc>
          <w:tcPr>
            <w:tcW w:w="560" w:type="pct"/>
            <w:tcBorders>
              <w:tl2br w:val="nil"/>
              <w:tr2bl w:val="nil"/>
            </w:tcBorders>
            <w:vAlign w:val="center"/>
          </w:tcPr>
          <w:p w14:paraId="73A34A21">
            <w:pPr>
              <w:keepNext w:val="0"/>
              <w:keepLines w:val="0"/>
              <w:pageBreakBefore w:val="0"/>
              <w:widowControl/>
              <w:suppressLineNumbers w:val="0"/>
              <w:kinsoku/>
              <w:wordWrap/>
              <w:overflowPunct/>
              <w:topLinePunct w:val="0"/>
              <w:autoSpaceDE/>
              <w:autoSpaceDN/>
              <w:bidi w:val="0"/>
              <w:adjustRightInd/>
              <w:snapToGrid w:val="0"/>
              <w:spacing w:line="240" w:lineRule="auto"/>
              <w:ind w:left="0" w:right="0" w:firstLine="0"/>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spacing w:val="5"/>
                <w:sz w:val="21"/>
                <w:szCs w:val="21"/>
                <w:lang w:val="en-US" w:eastAsia="zh-CN"/>
                <w14:textFill>
                  <w14:solidFill>
                    <w14:schemeClr w14:val="tx1"/>
                  </w14:solidFill>
                </w14:textFill>
              </w:rPr>
              <w:t>接触消毒池</w:t>
            </w:r>
          </w:p>
        </w:tc>
        <w:tc>
          <w:tcPr>
            <w:tcW w:w="1672" w:type="pct"/>
            <w:tcBorders>
              <w:tl2br w:val="nil"/>
              <w:tr2bl w:val="nil"/>
            </w:tcBorders>
            <w:shd w:val="clear" w:color="auto" w:fill="auto"/>
            <w:vAlign w:val="center"/>
          </w:tcPr>
          <w:p w14:paraId="25F0287D">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依托一阶段</w:t>
            </w:r>
          </w:p>
        </w:tc>
        <w:tc>
          <w:tcPr>
            <w:tcW w:w="458" w:type="pct"/>
            <w:tcBorders>
              <w:tl2br w:val="nil"/>
              <w:tr2bl w:val="nil"/>
            </w:tcBorders>
            <w:shd w:val="clear" w:color="auto" w:fill="auto"/>
            <w:vAlign w:val="center"/>
          </w:tcPr>
          <w:p w14:paraId="1FF1510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依托一阶段</w:t>
            </w:r>
          </w:p>
        </w:tc>
        <w:tc>
          <w:tcPr>
            <w:tcW w:w="1763" w:type="pct"/>
            <w:tcBorders>
              <w:tl2br w:val="nil"/>
              <w:tr2bl w:val="nil"/>
            </w:tcBorders>
            <w:vAlign w:val="center"/>
          </w:tcPr>
          <w:p w14:paraId="4AA7BFC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FF"/>
                <w:kern w:val="0"/>
                <w:sz w:val="21"/>
                <w:szCs w:val="21"/>
                <w:vertAlign w:val="baseline"/>
                <w:lang w:val="en-US" w:eastAsia="zh-CN" w:bidi="ar"/>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依托一阶段</w:t>
            </w:r>
          </w:p>
        </w:tc>
      </w:tr>
      <w:tr w14:paraId="6FE2E9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5" w:type="pct"/>
            <w:vMerge w:val="continue"/>
            <w:tcBorders>
              <w:tl2br w:val="nil"/>
              <w:tr2bl w:val="nil"/>
            </w:tcBorders>
            <w:vAlign w:val="center"/>
          </w:tcPr>
          <w:p w14:paraId="697BA3E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p>
        </w:tc>
        <w:tc>
          <w:tcPr>
            <w:tcW w:w="269" w:type="pct"/>
            <w:vMerge w:val="continue"/>
            <w:tcBorders>
              <w:tl2br w:val="nil"/>
              <w:tr2bl w:val="nil"/>
            </w:tcBorders>
            <w:vAlign w:val="center"/>
          </w:tcPr>
          <w:p w14:paraId="502E8F3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p>
        </w:tc>
        <w:tc>
          <w:tcPr>
            <w:tcW w:w="560" w:type="pct"/>
            <w:tcBorders>
              <w:tl2br w:val="nil"/>
              <w:tr2bl w:val="nil"/>
            </w:tcBorders>
            <w:vAlign w:val="center"/>
          </w:tcPr>
          <w:p w14:paraId="14A468D9">
            <w:pPr>
              <w:keepNext w:val="0"/>
              <w:keepLines w:val="0"/>
              <w:widowControl/>
              <w:suppressLineNumbers w:val="0"/>
              <w:jc w:val="cente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加药、加氯间</w:t>
            </w:r>
          </w:p>
        </w:tc>
        <w:tc>
          <w:tcPr>
            <w:tcW w:w="1672" w:type="pct"/>
            <w:tcBorders>
              <w:tl2br w:val="nil"/>
              <w:tr2bl w:val="nil"/>
            </w:tcBorders>
            <w:vAlign w:val="center"/>
          </w:tcPr>
          <w:p w14:paraId="723E4EEC">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PAC加药系统：1台计量泵；</w:t>
            </w:r>
          </w:p>
          <w:p w14:paraId="74962864">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碳源投加系统：1台计量泵；</w:t>
            </w:r>
          </w:p>
          <w:p w14:paraId="74437432">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次氯酸钠投加系统：1台投加泵。</w:t>
            </w:r>
          </w:p>
        </w:tc>
        <w:tc>
          <w:tcPr>
            <w:tcW w:w="458" w:type="pct"/>
            <w:tcBorders>
              <w:tl2br w:val="nil"/>
              <w:tr2bl w:val="nil"/>
            </w:tcBorders>
            <w:vAlign w:val="center"/>
          </w:tcPr>
          <w:p w14:paraId="797B921C">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二阶段仅进行设备安装</w:t>
            </w:r>
          </w:p>
        </w:tc>
        <w:tc>
          <w:tcPr>
            <w:tcW w:w="1763" w:type="pct"/>
            <w:tcBorders>
              <w:tl2br w:val="nil"/>
              <w:tr2bl w:val="nil"/>
            </w:tcBorders>
            <w:vAlign w:val="center"/>
          </w:tcPr>
          <w:p w14:paraId="6D7FE642">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PAC加药系统：1台计量泵；</w:t>
            </w:r>
          </w:p>
          <w:p w14:paraId="578C5AB5">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碳源投加系统：1台计量泵；</w:t>
            </w:r>
          </w:p>
          <w:p w14:paraId="176972AF">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FF"/>
                <w:kern w:val="0"/>
                <w:sz w:val="21"/>
                <w:szCs w:val="21"/>
                <w:vertAlign w:val="baseline"/>
                <w:lang w:val="en-US" w:eastAsia="zh-CN" w:bidi="ar"/>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次氯酸钠投加系统：1台投加泵。</w:t>
            </w:r>
          </w:p>
        </w:tc>
      </w:tr>
      <w:tr w14:paraId="1FF333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5" w:type="pct"/>
            <w:vMerge w:val="continue"/>
            <w:tcBorders>
              <w:tl2br w:val="nil"/>
              <w:tr2bl w:val="nil"/>
            </w:tcBorders>
            <w:vAlign w:val="center"/>
          </w:tcPr>
          <w:p w14:paraId="701D29B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p>
        </w:tc>
        <w:tc>
          <w:tcPr>
            <w:tcW w:w="269" w:type="pct"/>
            <w:vMerge w:val="continue"/>
            <w:tcBorders>
              <w:tl2br w:val="nil"/>
              <w:tr2bl w:val="nil"/>
            </w:tcBorders>
            <w:vAlign w:val="center"/>
          </w:tcPr>
          <w:p w14:paraId="29499AC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p>
        </w:tc>
        <w:tc>
          <w:tcPr>
            <w:tcW w:w="560" w:type="pct"/>
            <w:tcBorders>
              <w:tl2br w:val="nil"/>
              <w:tr2bl w:val="nil"/>
            </w:tcBorders>
            <w:vAlign w:val="center"/>
          </w:tcPr>
          <w:p w14:paraId="55CFDA65">
            <w:pPr>
              <w:keepNext w:val="0"/>
              <w:keepLines w:val="0"/>
              <w:widowControl/>
              <w:suppressLineNumbers w:val="0"/>
              <w:spacing w:line="240" w:lineRule="auto"/>
              <w:jc w:val="cente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污泥浓缩脱水车间</w:t>
            </w:r>
          </w:p>
        </w:tc>
        <w:tc>
          <w:tcPr>
            <w:tcW w:w="1672" w:type="pct"/>
            <w:tcBorders>
              <w:tl2br w:val="nil"/>
              <w:tr2bl w:val="nil"/>
            </w:tcBorders>
            <w:shd w:val="clear" w:color="auto" w:fill="auto"/>
            <w:vAlign w:val="center"/>
          </w:tcPr>
          <w:p w14:paraId="01D201B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依托一阶段</w:t>
            </w:r>
          </w:p>
        </w:tc>
        <w:tc>
          <w:tcPr>
            <w:tcW w:w="458" w:type="pct"/>
            <w:tcBorders>
              <w:tl2br w:val="nil"/>
              <w:tr2bl w:val="nil"/>
            </w:tcBorders>
            <w:shd w:val="clear" w:color="auto" w:fill="auto"/>
            <w:vAlign w:val="center"/>
          </w:tcPr>
          <w:p w14:paraId="6A3C931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依托一阶段</w:t>
            </w:r>
          </w:p>
        </w:tc>
        <w:tc>
          <w:tcPr>
            <w:tcW w:w="1763" w:type="pct"/>
            <w:tcBorders>
              <w:tl2br w:val="nil"/>
              <w:tr2bl w:val="nil"/>
            </w:tcBorders>
            <w:vAlign w:val="center"/>
          </w:tcPr>
          <w:p w14:paraId="2A8C1F3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FF"/>
                <w:kern w:val="0"/>
                <w:sz w:val="21"/>
                <w:szCs w:val="21"/>
                <w:vertAlign w:val="baseline"/>
                <w:lang w:val="en-US" w:eastAsia="zh-CN" w:bidi="ar"/>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依托一阶段</w:t>
            </w:r>
          </w:p>
        </w:tc>
      </w:tr>
      <w:tr w14:paraId="5F0412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5" w:type="pct"/>
            <w:vMerge w:val="continue"/>
            <w:tcBorders>
              <w:tl2br w:val="nil"/>
              <w:tr2bl w:val="nil"/>
            </w:tcBorders>
            <w:vAlign w:val="center"/>
          </w:tcPr>
          <w:p w14:paraId="7057934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p>
        </w:tc>
        <w:tc>
          <w:tcPr>
            <w:tcW w:w="829" w:type="pct"/>
            <w:gridSpan w:val="2"/>
            <w:tcBorders>
              <w:tl2br w:val="nil"/>
              <w:tr2bl w:val="nil"/>
            </w:tcBorders>
            <w:vAlign w:val="center"/>
          </w:tcPr>
          <w:p w14:paraId="200B09C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配套管网工程</w:t>
            </w:r>
          </w:p>
        </w:tc>
        <w:tc>
          <w:tcPr>
            <w:tcW w:w="1672" w:type="pct"/>
            <w:tcBorders>
              <w:tl2br w:val="nil"/>
              <w:tr2bl w:val="nil"/>
            </w:tcBorders>
            <w:vAlign w:val="center"/>
          </w:tcPr>
          <w:p w14:paraId="01FCB7A8">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二阶段污水管网总长约7.28km，主要是铺设支管。</w:t>
            </w:r>
          </w:p>
        </w:tc>
        <w:tc>
          <w:tcPr>
            <w:tcW w:w="458" w:type="pct"/>
            <w:tcBorders>
              <w:tl2br w:val="nil"/>
              <w:tr2bl w:val="nil"/>
            </w:tcBorders>
            <w:vAlign w:val="center"/>
          </w:tcPr>
          <w:p w14:paraId="6009E259">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w:t>
            </w:r>
          </w:p>
        </w:tc>
        <w:tc>
          <w:tcPr>
            <w:tcW w:w="1763" w:type="pct"/>
            <w:tcBorders>
              <w:tl2br w:val="nil"/>
              <w:tr2bl w:val="nil"/>
            </w:tcBorders>
            <w:vAlign w:val="center"/>
          </w:tcPr>
          <w:p w14:paraId="23CA653A">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FF"/>
                <w:kern w:val="0"/>
                <w:sz w:val="21"/>
                <w:szCs w:val="21"/>
                <w:vertAlign w:val="baseline"/>
                <w:lang w:val="en-US" w:eastAsia="zh-CN" w:bidi="ar"/>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二阶段实际污水管网总长约7.05km，主要是铺设支管。</w:t>
            </w:r>
          </w:p>
        </w:tc>
      </w:tr>
      <w:tr w14:paraId="5BF11C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5" w:type="pct"/>
            <w:vMerge w:val="restart"/>
            <w:tcBorders>
              <w:tl2br w:val="nil"/>
              <w:tr2bl w:val="nil"/>
            </w:tcBorders>
            <w:vAlign w:val="center"/>
          </w:tcPr>
          <w:p w14:paraId="5F69C426">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辅助工程</w:t>
            </w:r>
          </w:p>
        </w:tc>
        <w:tc>
          <w:tcPr>
            <w:tcW w:w="829" w:type="pct"/>
            <w:gridSpan w:val="2"/>
            <w:tcBorders>
              <w:tl2br w:val="nil"/>
              <w:tr2bl w:val="nil"/>
            </w:tcBorders>
            <w:vAlign w:val="center"/>
          </w:tcPr>
          <w:p w14:paraId="2DFF3C1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综合楼</w:t>
            </w:r>
          </w:p>
        </w:tc>
        <w:tc>
          <w:tcPr>
            <w:tcW w:w="1672" w:type="pct"/>
            <w:tcBorders>
              <w:tl2br w:val="nil"/>
              <w:tr2bl w:val="nil"/>
            </w:tcBorders>
            <w:vAlign w:val="center"/>
          </w:tcPr>
          <w:p w14:paraId="6FB8989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依托一阶段</w:t>
            </w:r>
          </w:p>
        </w:tc>
        <w:tc>
          <w:tcPr>
            <w:tcW w:w="458" w:type="pct"/>
            <w:tcBorders>
              <w:tl2br w:val="nil"/>
              <w:tr2bl w:val="nil"/>
            </w:tcBorders>
            <w:vAlign w:val="center"/>
          </w:tcPr>
          <w:p w14:paraId="5BAE464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依托一阶段</w:t>
            </w:r>
          </w:p>
        </w:tc>
        <w:tc>
          <w:tcPr>
            <w:tcW w:w="1763" w:type="pct"/>
            <w:tcBorders>
              <w:tl2br w:val="nil"/>
              <w:tr2bl w:val="nil"/>
            </w:tcBorders>
            <w:shd w:val="clear" w:color="auto" w:fill="auto"/>
            <w:vAlign w:val="center"/>
          </w:tcPr>
          <w:p w14:paraId="773089A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依托一阶段</w:t>
            </w:r>
          </w:p>
        </w:tc>
      </w:tr>
      <w:tr w14:paraId="7652D0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5" w:type="pct"/>
            <w:vMerge w:val="continue"/>
            <w:tcBorders>
              <w:tl2br w:val="nil"/>
              <w:tr2bl w:val="nil"/>
            </w:tcBorders>
            <w:vAlign w:val="center"/>
          </w:tcPr>
          <w:p w14:paraId="6E8EBA54">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p>
        </w:tc>
        <w:tc>
          <w:tcPr>
            <w:tcW w:w="829" w:type="pct"/>
            <w:gridSpan w:val="2"/>
            <w:tcBorders>
              <w:tl2br w:val="nil"/>
              <w:tr2bl w:val="nil"/>
            </w:tcBorders>
            <w:vAlign w:val="center"/>
          </w:tcPr>
          <w:p w14:paraId="1067C8F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鼓风机房</w:t>
            </w:r>
          </w:p>
        </w:tc>
        <w:tc>
          <w:tcPr>
            <w:tcW w:w="1672" w:type="pct"/>
            <w:tcBorders>
              <w:tl2br w:val="nil"/>
              <w:tr2bl w:val="nil"/>
            </w:tcBorders>
            <w:vAlign w:val="center"/>
          </w:tcPr>
          <w:p w14:paraId="64386FBA">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仅安装设备。主要设备：1台磁悬浮离心鼓风机、1个止回阀、1个手动蝶阀、1个挠性接头。</w:t>
            </w:r>
          </w:p>
        </w:tc>
        <w:tc>
          <w:tcPr>
            <w:tcW w:w="458" w:type="pct"/>
            <w:tcBorders>
              <w:tl2br w:val="nil"/>
              <w:tr2bl w:val="nil"/>
            </w:tcBorders>
            <w:vAlign w:val="center"/>
          </w:tcPr>
          <w:p w14:paraId="3BE8B3EE">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二阶段仅进行设备安装</w:t>
            </w:r>
          </w:p>
        </w:tc>
        <w:tc>
          <w:tcPr>
            <w:tcW w:w="1763" w:type="pct"/>
            <w:tcBorders>
              <w:tl2br w:val="nil"/>
              <w:tr2bl w:val="nil"/>
            </w:tcBorders>
            <w:vAlign w:val="center"/>
          </w:tcPr>
          <w:p w14:paraId="7E7461E2">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FF"/>
                <w:kern w:val="0"/>
                <w:sz w:val="21"/>
                <w:szCs w:val="21"/>
                <w:vertAlign w:val="baseline"/>
                <w:lang w:val="en-US" w:eastAsia="zh-CN" w:bidi="ar"/>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仅安装设备。主要设备：1台磁悬浮离心鼓风机、1个止回阀、1个手动蝶阀、1个挠性接头。</w:t>
            </w:r>
          </w:p>
        </w:tc>
      </w:tr>
      <w:tr w14:paraId="224674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5" w:type="pct"/>
            <w:vMerge w:val="continue"/>
            <w:tcBorders>
              <w:tl2br w:val="nil"/>
              <w:tr2bl w:val="nil"/>
            </w:tcBorders>
            <w:vAlign w:val="center"/>
          </w:tcPr>
          <w:p w14:paraId="1E10AD1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p>
        </w:tc>
        <w:tc>
          <w:tcPr>
            <w:tcW w:w="829" w:type="pct"/>
            <w:gridSpan w:val="2"/>
            <w:tcBorders>
              <w:tl2br w:val="nil"/>
              <w:tr2bl w:val="nil"/>
            </w:tcBorders>
            <w:vAlign w:val="center"/>
          </w:tcPr>
          <w:p w14:paraId="391882A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配电房</w:t>
            </w:r>
          </w:p>
        </w:tc>
        <w:tc>
          <w:tcPr>
            <w:tcW w:w="1672" w:type="pct"/>
            <w:tcBorders>
              <w:tl2br w:val="nil"/>
              <w:tr2bl w:val="nil"/>
            </w:tcBorders>
            <w:shd w:val="clear" w:color="auto" w:fill="auto"/>
            <w:vAlign w:val="center"/>
          </w:tcPr>
          <w:p w14:paraId="20C84B8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依托一阶段</w:t>
            </w:r>
          </w:p>
        </w:tc>
        <w:tc>
          <w:tcPr>
            <w:tcW w:w="458" w:type="pct"/>
            <w:tcBorders>
              <w:tl2br w:val="nil"/>
              <w:tr2bl w:val="nil"/>
            </w:tcBorders>
            <w:shd w:val="clear" w:color="auto" w:fill="auto"/>
            <w:vAlign w:val="center"/>
          </w:tcPr>
          <w:p w14:paraId="4A075564">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依托一阶段</w:t>
            </w:r>
          </w:p>
        </w:tc>
        <w:tc>
          <w:tcPr>
            <w:tcW w:w="1763" w:type="pct"/>
            <w:tcBorders>
              <w:tl2br w:val="nil"/>
              <w:tr2bl w:val="nil"/>
            </w:tcBorders>
            <w:vAlign w:val="center"/>
          </w:tcPr>
          <w:p w14:paraId="3CADA6D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FF"/>
                <w:kern w:val="0"/>
                <w:sz w:val="21"/>
                <w:szCs w:val="21"/>
                <w:vertAlign w:val="baseline"/>
                <w:lang w:val="en-US" w:eastAsia="zh-CN" w:bidi="ar"/>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依托一阶段</w:t>
            </w:r>
          </w:p>
        </w:tc>
      </w:tr>
      <w:tr w14:paraId="63F1BA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5" w:type="pct"/>
            <w:vMerge w:val="continue"/>
            <w:tcBorders>
              <w:tl2br w:val="nil"/>
              <w:tr2bl w:val="nil"/>
            </w:tcBorders>
            <w:vAlign w:val="center"/>
          </w:tcPr>
          <w:p w14:paraId="6C56F36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p>
        </w:tc>
        <w:tc>
          <w:tcPr>
            <w:tcW w:w="829" w:type="pct"/>
            <w:gridSpan w:val="2"/>
            <w:tcBorders>
              <w:tl2br w:val="nil"/>
              <w:tr2bl w:val="nil"/>
            </w:tcBorders>
            <w:vAlign w:val="center"/>
          </w:tcPr>
          <w:p w14:paraId="0021B607">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仪表房</w:t>
            </w:r>
          </w:p>
        </w:tc>
        <w:tc>
          <w:tcPr>
            <w:tcW w:w="1672" w:type="pct"/>
            <w:tcBorders>
              <w:tl2br w:val="nil"/>
              <w:tr2bl w:val="nil"/>
            </w:tcBorders>
            <w:vAlign w:val="center"/>
          </w:tcPr>
          <w:p w14:paraId="707D2A2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依托一阶段</w:t>
            </w:r>
          </w:p>
        </w:tc>
        <w:tc>
          <w:tcPr>
            <w:tcW w:w="458" w:type="pct"/>
            <w:tcBorders>
              <w:tl2br w:val="nil"/>
              <w:tr2bl w:val="nil"/>
            </w:tcBorders>
            <w:vAlign w:val="center"/>
          </w:tcPr>
          <w:p w14:paraId="1077531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依托一阶段</w:t>
            </w:r>
          </w:p>
        </w:tc>
        <w:tc>
          <w:tcPr>
            <w:tcW w:w="1763" w:type="pct"/>
            <w:tcBorders>
              <w:tl2br w:val="nil"/>
              <w:tr2bl w:val="nil"/>
            </w:tcBorders>
            <w:vAlign w:val="center"/>
          </w:tcPr>
          <w:p w14:paraId="3B37235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FF"/>
                <w:kern w:val="0"/>
                <w:sz w:val="21"/>
                <w:szCs w:val="21"/>
                <w:vertAlign w:val="baseline"/>
                <w:lang w:val="en-US" w:eastAsia="zh-CN" w:bidi="ar"/>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依托一阶段</w:t>
            </w:r>
          </w:p>
        </w:tc>
      </w:tr>
      <w:tr w14:paraId="234A2A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5" w:type="pct"/>
            <w:vMerge w:val="continue"/>
            <w:tcBorders>
              <w:tl2br w:val="nil"/>
              <w:tr2bl w:val="nil"/>
            </w:tcBorders>
            <w:vAlign w:val="center"/>
          </w:tcPr>
          <w:p w14:paraId="66C3D92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p>
        </w:tc>
        <w:tc>
          <w:tcPr>
            <w:tcW w:w="829" w:type="pct"/>
            <w:gridSpan w:val="2"/>
            <w:tcBorders>
              <w:tl2br w:val="nil"/>
              <w:tr2bl w:val="nil"/>
            </w:tcBorders>
            <w:vAlign w:val="center"/>
          </w:tcPr>
          <w:p w14:paraId="61D7AAC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值班室</w:t>
            </w:r>
          </w:p>
        </w:tc>
        <w:tc>
          <w:tcPr>
            <w:tcW w:w="1672" w:type="pct"/>
            <w:tcBorders>
              <w:tl2br w:val="nil"/>
              <w:tr2bl w:val="nil"/>
            </w:tcBorders>
            <w:vAlign w:val="center"/>
          </w:tcPr>
          <w:p w14:paraId="0981B7F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依托一阶段</w:t>
            </w:r>
          </w:p>
        </w:tc>
        <w:tc>
          <w:tcPr>
            <w:tcW w:w="458" w:type="pct"/>
            <w:tcBorders>
              <w:tl2br w:val="nil"/>
              <w:tr2bl w:val="nil"/>
            </w:tcBorders>
            <w:vAlign w:val="center"/>
          </w:tcPr>
          <w:p w14:paraId="4175DF36">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依托一阶段</w:t>
            </w:r>
          </w:p>
        </w:tc>
        <w:tc>
          <w:tcPr>
            <w:tcW w:w="1763" w:type="pct"/>
            <w:tcBorders>
              <w:tl2br w:val="nil"/>
              <w:tr2bl w:val="nil"/>
            </w:tcBorders>
            <w:vAlign w:val="center"/>
          </w:tcPr>
          <w:p w14:paraId="56AAAAB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FF"/>
                <w:kern w:val="0"/>
                <w:sz w:val="21"/>
                <w:szCs w:val="21"/>
                <w:vertAlign w:val="baseline"/>
                <w:lang w:val="en-US" w:eastAsia="zh-CN" w:bidi="ar"/>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依托一阶段</w:t>
            </w:r>
          </w:p>
        </w:tc>
      </w:tr>
      <w:tr w14:paraId="329F19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5" w:type="pct"/>
            <w:vMerge w:val="restart"/>
            <w:tcBorders>
              <w:tl2br w:val="nil"/>
              <w:tr2bl w:val="nil"/>
            </w:tcBorders>
            <w:vAlign w:val="center"/>
          </w:tcPr>
          <w:p w14:paraId="27EB866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储运工程</w:t>
            </w:r>
          </w:p>
        </w:tc>
        <w:tc>
          <w:tcPr>
            <w:tcW w:w="829" w:type="pct"/>
            <w:gridSpan w:val="2"/>
            <w:tcBorders>
              <w:tl2br w:val="nil"/>
              <w:tr2bl w:val="nil"/>
            </w:tcBorders>
            <w:vAlign w:val="center"/>
          </w:tcPr>
          <w:p w14:paraId="19C0E38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污泥泥仓</w:t>
            </w:r>
          </w:p>
        </w:tc>
        <w:tc>
          <w:tcPr>
            <w:tcW w:w="1672" w:type="pct"/>
            <w:tcBorders>
              <w:tl2br w:val="nil"/>
              <w:tr2bl w:val="nil"/>
            </w:tcBorders>
            <w:shd w:val="clear" w:color="auto" w:fill="auto"/>
            <w:vAlign w:val="center"/>
          </w:tcPr>
          <w:p w14:paraId="17640FA8">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依托一阶段</w:t>
            </w:r>
          </w:p>
        </w:tc>
        <w:tc>
          <w:tcPr>
            <w:tcW w:w="458" w:type="pct"/>
            <w:tcBorders>
              <w:tl2br w:val="nil"/>
              <w:tr2bl w:val="nil"/>
            </w:tcBorders>
            <w:shd w:val="clear" w:color="auto" w:fill="auto"/>
            <w:vAlign w:val="center"/>
          </w:tcPr>
          <w:p w14:paraId="72D7908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依托一阶段</w:t>
            </w:r>
          </w:p>
        </w:tc>
        <w:tc>
          <w:tcPr>
            <w:tcW w:w="1763" w:type="pct"/>
            <w:tcBorders>
              <w:tl2br w:val="nil"/>
              <w:tr2bl w:val="nil"/>
            </w:tcBorders>
            <w:vAlign w:val="center"/>
          </w:tcPr>
          <w:p w14:paraId="1FA37964">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FF"/>
                <w:kern w:val="0"/>
                <w:sz w:val="21"/>
                <w:szCs w:val="21"/>
                <w:vertAlign w:val="baseline"/>
                <w:lang w:val="en-US" w:eastAsia="zh-CN" w:bidi="ar"/>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依托一阶段</w:t>
            </w:r>
          </w:p>
        </w:tc>
      </w:tr>
      <w:tr w14:paraId="746657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5" w:type="pct"/>
            <w:vMerge w:val="continue"/>
            <w:tcBorders>
              <w:tl2br w:val="nil"/>
              <w:tr2bl w:val="nil"/>
            </w:tcBorders>
            <w:vAlign w:val="center"/>
          </w:tcPr>
          <w:p w14:paraId="4976FF1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p>
        </w:tc>
        <w:tc>
          <w:tcPr>
            <w:tcW w:w="829" w:type="pct"/>
            <w:gridSpan w:val="2"/>
            <w:tcBorders>
              <w:tl2br w:val="nil"/>
              <w:tr2bl w:val="nil"/>
            </w:tcBorders>
            <w:vAlign w:val="center"/>
          </w:tcPr>
          <w:p w14:paraId="4E7CF16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仓库</w:t>
            </w:r>
          </w:p>
        </w:tc>
        <w:tc>
          <w:tcPr>
            <w:tcW w:w="1672" w:type="pct"/>
            <w:tcBorders>
              <w:tl2br w:val="nil"/>
              <w:tr2bl w:val="nil"/>
            </w:tcBorders>
            <w:shd w:val="clear" w:color="auto" w:fill="auto"/>
            <w:vAlign w:val="center"/>
          </w:tcPr>
          <w:p w14:paraId="5B2E77C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依托一阶段</w:t>
            </w:r>
          </w:p>
        </w:tc>
        <w:tc>
          <w:tcPr>
            <w:tcW w:w="458" w:type="pct"/>
            <w:tcBorders>
              <w:tl2br w:val="nil"/>
              <w:tr2bl w:val="nil"/>
            </w:tcBorders>
            <w:shd w:val="clear" w:color="auto" w:fill="auto"/>
            <w:vAlign w:val="center"/>
          </w:tcPr>
          <w:p w14:paraId="18ED402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依托一阶段</w:t>
            </w:r>
          </w:p>
        </w:tc>
        <w:tc>
          <w:tcPr>
            <w:tcW w:w="1763" w:type="pct"/>
            <w:tcBorders>
              <w:tl2br w:val="nil"/>
              <w:tr2bl w:val="nil"/>
            </w:tcBorders>
            <w:vAlign w:val="center"/>
          </w:tcPr>
          <w:p w14:paraId="1E1F1BA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FF"/>
                <w:kern w:val="0"/>
                <w:sz w:val="21"/>
                <w:szCs w:val="21"/>
                <w:vertAlign w:val="baseline"/>
                <w:lang w:val="en-US" w:eastAsia="zh-CN" w:bidi="ar"/>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依托一阶段</w:t>
            </w:r>
          </w:p>
        </w:tc>
      </w:tr>
      <w:tr w14:paraId="6258B6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5" w:type="pct"/>
            <w:vMerge w:val="restart"/>
            <w:tcBorders>
              <w:tl2br w:val="nil"/>
              <w:tr2bl w:val="nil"/>
            </w:tcBorders>
            <w:vAlign w:val="center"/>
          </w:tcPr>
          <w:p w14:paraId="7CA6562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公用工程</w:t>
            </w:r>
          </w:p>
        </w:tc>
        <w:tc>
          <w:tcPr>
            <w:tcW w:w="829" w:type="pct"/>
            <w:gridSpan w:val="2"/>
            <w:tcBorders>
              <w:tl2br w:val="nil"/>
              <w:tr2bl w:val="nil"/>
            </w:tcBorders>
            <w:vAlign w:val="center"/>
          </w:tcPr>
          <w:p w14:paraId="5B197B5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供水</w:t>
            </w:r>
          </w:p>
        </w:tc>
        <w:tc>
          <w:tcPr>
            <w:tcW w:w="1672" w:type="pct"/>
            <w:tcBorders>
              <w:tl2br w:val="nil"/>
              <w:tr2bl w:val="nil"/>
            </w:tcBorders>
            <w:vAlign w:val="center"/>
          </w:tcPr>
          <w:p w14:paraId="493675A0">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①厂区用水和消防用水依托市政自来水供水管网。</w:t>
            </w:r>
          </w:p>
          <w:p w14:paraId="0D4AAD61">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②厂区绿化用水、道路浇洒用水利用水厂出水。</w:t>
            </w:r>
          </w:p>
        </w:tc>
        <w:tc>
          <w:tcPr>
            <w:tcW w:w="458" w:type="pct"/>
            <w:tcBorders>
              <w:tl2br w:val="nil"/>
              <w:tr2bl w:val="nil"/>
            </w:tcBorders>
            <w:vAlign w:val="center"/>
          </w:tcPr>
          <w:p w14:paraId="591BA19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w:t>
            </w:r>
          </w:p>
        </w:tc>
        <w:tc>
          <w:tcPr>
            <w:tcW w:w="1763" w:type="pct"/>
            <w:tcBorders>
              <w:tl2br w:val="nil"/>
              <w:tr2bl w:val="nil"/>
            </w:tcBorders>
            <w:vAlign w:val="center"/>
          </w:tcPr>
          <w:p w14:paraId="37455221">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①厂区用水和消防用水依托市政自来水供水管网。</w:t>
            </w:r>
          </w:p>
          <w:p w14:paraId="0363061E">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FF"/>
                <w:kern w:val="0"/>
                <w:sz w:val="21"/>
                <w:szCs w:val="21"/>
                <w:vertAlign w:val="baseline"/>
                <w:lang w:val="en-US" w:eastAsia="zh-CN" w:bidi="ar"/>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②厂区绿化用水、道路浇洒用水利用水厂出水。</w:t>
            </w:r>
          </w:p>
        </w:tc>
      </w:tr>
      <w:tr w14:paraId="527220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75" w:type="pct"/>
            <w:vMerge w:val="continue"/>
            <w:tcBorders>
              <w:tl2br w:val="nil"/>
              <w:tr2bl w:val="nil"/>
            </w:tcBorders>
            <w:vAlign w:val="center"/>
          </w:tcPr>
          <w:p w14:paraId="50F6CFE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p>
        </w:tc>
        <w:tc>
          <w:tcPr>
            <w:tcW w:w="829" w:type="pct"/>
            <w:gridSpan w:val="2"/>
            <w:tcBorders>
              <w:tl2br w:val="nil"/>
              <w:tr2bl w:val="nil"/>
            </w:tcBorders>
            <w:vAlign w:val="center"/>
          </w:tcPr>
          <w:p w14:paraId="1D89CB8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排水</w:t>
            </w:r>
          </w:p>
        </w:tc>
        <w:tc>
          <w:tcPr>
            <w:tcW w:w="1672" w:type="pct"/>
            <w:tcBorders>
              <w:tl2br w:val="nil"/>
              <w:tr2bl w:val="nil"/>
            </w:tcBorders>
            <w:vAlign w:val="center"/>
          </w:tcPr>
          <w:p w14:paraId="0C7FFC62">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厂区采取雨污分流，雨水沿道路两侧布置雨水井及雨水排水管，经收集后排入市政雨水管网。污水进入厂区污水处理厂系统处理，处理达标后排入双桥河。</w:t>
            </w:r>
          </w:p>
        </w:tc>
        <w:tc>
          <w:tcPr>
            <w:tcW w:w="458" w:type="pct"/>
            <w:tcBorders>
              <w:tl2br w:val="nil"/>
              <w:tr2bl w:val="nil"/>
            </w:tcBorders>
            <w:vAlign w:val="center"/>
          </w:tcPr>
          <w:p w14:paraId="2D6471A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w:t>
            </w:r>
          </w:p>
        </w:tc>
        <w:tc>
          <w:tcPr>
            <w:tcW w:w="1763" w:type="pct"/>
            <w:tcBorders>
              <w:tl2br w:val="nil"/>
              <w:tr2bl w:val="nil"/>
            </w:tcBorders>
            <w:vAlign w:val="center"/>
          </w:tcPr>
          <w:p w14:paraId="03BB3540">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FF"/>
                <w:kern w:val="0"/>
                <w:sz w:val="21"/>
                <w:szCs w:val="21"/>
                <w:vertAlign w:val="baseline"/>
                <w:lang w:val="en-US" w:eastAsia="zh-CN" w:bidi="ar"/>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厂区采取雨污分流，雨水沿道路两侧布置雨水井及雨水排水管，经收集后排入市政雨水管网。污水进入厂区污水处理厂系统处理，处理达标后排入双桥河。</w:t>
            </w:r>
          </w:p>
        </w:tc>
      </w:tr>
      <w:tr w14:paraId="2BB32F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5" w:type="pct"/>
            <w:vMerge w:val="continue"/>
            <w:tcBorders>
              <w:tl2br w:val="nil"/>
              <w:tr2bl w:val="nil"/>
            </w:tcBorders>
            <w:vAlign w:val="center"/>
          </w:tcPr>
          <w:p w14:paraId="0D356564">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p>
        </w:tc>
        <w:tc>
          <w:tcPr>
            <w:tcW w:w="829" w:type="pct"/>
            <w:gridSpan w:val="2"/>
            <w:tcBorders>
              <w:tl2br w:val="nil"/>
              <w:tr2bl w:val="nil"/>
            </w:tcBorders>
            <w:vAlign w:val="center"/>
          </w:tcPr>
          <w:p w14:paraId="664DB86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供电</w:t>
            </w:r>
          </w:p>
        </w:tc>
        <w:tc>
          <w:tcPr>
            <w:tcW w:w="1672" w:type="pct"/>
            <w:tcBorders>
              <w:tl2br w:val="nil"/>
              <w:tr2bl w:val="nil"/>
            </w:tcBorders>
            <w:vAlign w:val="center"/>
          </w:tcPr>
          <w:p w14:paraId="6A4A61AE">
            <w:pPr>
              <w:keepNext w:val="0"/>
              <w:keepLines w:val="0"/>
              <w:widowControl/>
              <w:suppressLineNumbers w:val="0"/>
              <w:jc w:val="both"/>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厂区内设置一间配电房，由市政供电部门统一供给。</w:t>
            </w:r>
          </w:p>
        </w:tc>
        <w:tc>
          <w:tcPr>
            <w:tcW w:w="458" w:type="pct"/>
            <w:tcBorders>
              <w:tl2br w:val="nil"/>
              <w:tr2bl w:val="nil"/>
            </w:tcBorders>
            <w:vAlign w:val="center"/>
          </w:tcPr>
          <w:p w14:paraId="548E5AFD">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w:t>
            </w:r>
          </w:p>
        </w:tc>
        <w:tc>
          <w:tcPr>
            <w:tcW w:w="1763" w:type="pct"/>
            <w:tcBorders>
              <w:tl2br w:val="nil"/>
              <w:tr2bl w:val="nil"/>
            </w:tcBorders>
            <w:vAlign w:val="center"/>
          </w:tcPr>
          <w:p w14:paraId="7E2022C2">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FF"/>
                <w:kern w:val="0"/>
                <w:sz w:val="21"/>
                <w:szCs w:val="21"/>
                <w:vertAlign w:val="baseline"/>
                <w:lang w:val="en-US" w:eastAsia="zh-CN" w:bidi="ar"/>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厂区内设置一间配电房，由市政供电部门统一供给。</w:t>
            </w:r>
          </w:p>
        </w:tc>
      </w:tr>
      <w:tr w14:paraId="0DF5B5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5" w:type="pct"/>
            <w:vMerge w:val="continue"/>
            <w:tcBorders>
              <w:tl2br w:val="nil"/>
              <w:tr2bl w:val="nil"/>
            </w:tcBorders>
            <w:vAlign w:val="center"/>
          </w:tcPr>
          <w:p w14:paraId="349B8CD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p>
        </w:tc>
        <w:tc>
          <w:tcPr>
            <w:tcW w:w="829" w:type="pct"/>
            <w:gridSpan w:val="2"/>
            <w:tcBorders>
              <w:tl2br w:val="nil"/>
              <w:tr2bl w:val="nil"/>
            </w:tcBorders>
            <w:vAlign w:val="center"/>
          </w:tcPr>
          <w:p w14:paraId="76CD762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消防</w:t>
            </w:r>
          </w:p>
        </w:tc>
        <w:tc>
          <w:tcPr>
            <w:tcW w:w="1672" w:type="pct"/>
            <w:tcBorders>
              <w:tl2br w:val="nil"/>
              <w:tr2bl w:val="nil"/>
            </w:tcBorders>
            <w:vAlign w:val="center"/>
          </w:tcPr>
          <w:p w14:paraId="5B2F05B5">
            <w:pPr>
              <w:keepNext w:val="0"/>
              <w:keepLines w:val="0"/>
              <w:widowControl/>
              <w:suppressLineNumbers w:val="0"/>
              <w:jc w:val="both"/>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厂区内设置消防栓等消防设备</w:t>
            </w:r>
          </w:p>
        </w:tc>
        <w:tc>
          <w:tcPr>
            <w:tcW w:w="458" w:type="pct"/>
            <w:tcBorders>
              <w:tl2br w:val="nil"/>
              <w:tr2bl w:val="nil"/>
            </w:tcBorders>
            <w:vAlign w:val="center"/>
          </w:tcPr>
          <w:p w14:paraId="5D807B0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w:t>
            </w:r>
          </w:p>
        </w:tc>
        <w:tc>
          <w:tcPr>
            <w:tcW w:w="1763" w:type="pct"/>
            <w:tcBorders>
              <w:tl2br w:val="nil"/>
              <w:tr2bl w:val="nil"/>
            </w:tcBorders>
            <w:vAlign w:val="center"/>
          </w:tcPr>
          <w:p w14:paraId="7FDA09FE">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FF"/>
                <w:kern w:val="0"/>
                <w:sz w:val="21"/>
                <w:szCs w:val="21"/>
                <w:vertAlign w:val="baseline"/>
                <w:lang w:val="en-US" w:eastAsia="zh-CN" w:bidi="ar"/>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厂区内设置消防栓等消防设备</w:t>
            </w:r>
          </w:p>
        </w:tc>
      </w:tr>
      <w:tr w14:paraId="2841DF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5" w:type="pct"/>
            <w:vMerge w:val="restart"/>
            <w:tcBorders>
              <w:tl2br w:val="nil"/>
              <w:tr2bl w:val="nil"/>
            </w:tcBorders>
            <w:vAlign w:val="center"/>
          </w:tcPr>
          <w:p w14:paraId="14719CCD">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环保工程</w:t>
            </w:r>
          </w:p>
        </w:tc>
        <w:tc>
          <w:tcPr>
            <w:tcW w:w="269" w:type="pct"/>
            <w:vMerge w:val="restart"/>
            <w:tcBorders>
              <w:tl2br w:val="nil"/>
              <w:tr2bl w:val="nil"/>
            </w:tcBorders>
            <w:vAlign w:val="center"/>
          </w:tcPr>
          <w:p w14:paraId="6CDE03A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废气</w:t>
            </w:r>
          </w:p>
        </w:tc>
        <w:tc>
          <w:tcPr>
            <w:tcW w:w="560" w:type="pct"/>
            <w:tcBorders>
              <w:tl2br w:val="nil"/>
              <w:tr2bl w:val="nil"/>
            </w:tcBorders>
            <w:vAlign w:val="center"/>
          </w:tcPr>
          <w:p w14:paraId="0E2FA35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施工期</w:t>
            </w:r>
          </w:p>
        </w:tc>
        <w:tc>
          <w:tcPr>
            <w:tcW w:w="1672" w:type="pct"/>
            <w:tcBorders>
              <w:tl2br w:val="nil"/>
              <w:tr2bl w:val="nil"/>
            </w:tcBorders>
            <w:vAlign w:val="center"/>
          </w:tcPr>
          <w:p w14:paraId="00D5B872">
            <w:pPr>
              <w:keepNext w:val="0"/>
              <w:keepLines w:val="0"/>
              <w:widowControl/>
              <w:suppressLineNumbers w:val="0"/>
              <w:jc w:val="both"/>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主要为设备安装，不进行土建工程，施工期大气环境影响很小。</w:t>
            </w:r>
          </w:p>
        </w:tc>
        <w:tc>
          <w:tcPr>
            <w:tcW w:w="458" w:type="pct"/>
            <w:tcBorders>
              <w:tl2br w:val="nil"/>
              <w:tr2bl w:val="nil"/>
            </w:tcBorders>
            <w:vAlign w:val="center"/>
          </w:tcPr>
          <w:p w14:paraId="6397EE3D">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w:t>
            </w:r>
          </w:p>
        </w:tc>
        <w:tc>
          <w:tcPr>
            <w:tcW w:w="1763" w:type="pct"/>
            <w:tcBorders>
              <w:tl2br w:val="nil"/>
              <w:tr2bl w:val="nil"/>
            </w:tcBorders>
            <w:vAlign w:val="center"/>
          </w:tcPr>
          <w:p w14:paraId="3A0CFFFD">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FF"/>
                <w:kern w:val="0"/>
                <w:sz w:val="21"/>
                <w:szCs w:val="21"/>
                <w:vertAlign w:val="baseline"/>
                <w:lang w:val="en-US" w:eastAsia="zh-CN" w:bidi="ar"/>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主要为设备安装，不进行土建工程，施工期大气环境影响很小。</w:t>
            </w:r>
          </w:p>
        </w:tc>
      </w:tr>
      <w:tr w14:paraId="5DB5BF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275" w:type="pct"/>
            <w:vMerge w:val="continue"/>
            <w:tcBorders>
              <w:tl2br w:val="nil"/>
              <w:tr2bl w:val="nil"/>
            </w:tcBorders>
            <w:vAlign w:val="center"/>
          </w:tcPr>
          <w:p w14:paraId="095276C4">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p>
        </w:tc>
        <w:tc>
          <w:tcPr>
            <w:tcW w:w="269" w:type="pct"/>
            <w:vMerge w:val="continue"/>
            <w:tcBorders>
              <w:tl2br w:val="nil"/>
              <w:tr2bl w:val="nil"/>
            </w:tcBorders>
            <w:vAlign w:val="center"/>
          </w:tcPr>
          <w:p w14:paraId="1EFD81D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p>
        </w:tc>
        <w:tc>
          <w:tcPr>
            <w:tcW w:w="560" w:type="pct"/>
            <w:tcBorders>
              <w:tl2br w:val="nil"/>
              <w:tr2bl w:val="nil"/>
            </w:tcBorders>
            <w:vAlign w:val="center"/>
          </w:tcPr>
          <w:p w14:paraId="5D3FD05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运营期</w:t>
            </w:r>
          </w:p>
        </w:tc>
        <w:tc>
          <w:tcPr>
            <w:tcW w:w="1672" w:type="pct"/>
            <w:tcBorders>
              <w:tl2br w:val="nil"/>
              <w:tr2bl w:val="nil"/>
            </w:tcBorders>
            <w:vAlign w:val="center"/>
          </w:tcPr>
          <w:p w14:paraId="0B05684C">
            <w:pPr>
              <w:keepNext w:val="0"/>
              <w:keepLines w:val="0"/>
              <w:widowControl/>
              <w:suppressLineNumbers w:val="0"/>
              <w:jc w:val="both"/>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依托一阶段，污水处理厂粗格栅及进水泵房、细格栅及曝气沉砂池、污泥浓缩脱水车间产生的臭气经收集后通过1套生物除臭滤池处理后排放，风量为25000m</w:t>
            </w:r>
            <w:r>
              <w:rPr>
                <w:rFonts w:hint="eastAsia" w:ascii="宋体" w:hAnsi="宋体" w:eastAsia="宋体" w:cs="宋体"/>
                <w:color w:val="000000" w:themeColor="text1"/>
                <w:kern w:val="0"/>
                <w:sz w:val="21"/>
                <w:szCs w:val="21"/>
                <w:vertAlign w:val="superscript"/>
                <w:lang w:val="en-US" w:eastAsia="zh-CN" w:bidi="ar"/>
                <w14:textFill>
                  <w14:solidFill>
                    <w14:schemeClr w14:val="tx1"/>
                  </w14:solidFill>
                </w14:textFill>
              </w:rPr>
              <w:t>3</w:t>
            </w:r>
            <w:r>
              <w:rPr>
                <w:rFonts w:hint="eastAsia" w:ascii="宋体" w:hAnsi="宋体" w:eastAsia="宋体" w:cs="宋体"/>
                <w:color w:val="000000" w:themeColor="text1"/>
                <w:kern w:val="0"/>
                <w:sz w:val="21"/>
                <w:szCs w:val="21"/>
                <w:lang w:val="en-US" w:eastAsia="zh-CN" w:bidi="ar"/>
                <w14:textFill>
                  <w14:solidFill>
                    <w14:schemeClr w14:val="tx1"/>
                  </w14:solidFill>
                </w14:textFill>
              </w:rPr>
              <w:t>/h。</w:t>
            </w:r>
          </w:p>
        </w:tc>
        <w:tc>
          <w:tcPr>
            <w:tcW w:w="458" w:type="pct"/>
            <w:tcBorders>
              <w:tl2br w:val="nil"/>
              <w:tr2bl w:val="nil"/>
            </w:tcBorders>
            <w:vAlign w:val="center"/>
          </w:tcPr>
          <w:p w14:paraId="1EC6BB1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w:t>
            </w:r>
          </w:p>
        </w:tc>
        <w:tc>
          <w:tcPr>
            <w:tcW w:w="1763" w:type="pct"/>
            <w:tcBorders>
              <w:tl2br w:val="nil"/>
              <w:tr2bl w:val="nil"/>
            </w:tcBorders>
            <w:vAlign w:val="center"/>
          </w:tcPr>
          <w:p w14:paraId="177AEFA1">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FF"/>
                <w:kern w:val="0"/>
                <w:sz w:val="21"/>
                <w:szCs w:val="21"/>
                <w:vertAlign w:val="baseline"/>
                <w:lang w:val="en-US" w:eastAsia="zh-CN" w:bidi="ar"/>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依托一阶段，污水处理厂粗格栅及进水泵房、细格栅及曝气沉砂池、污泥浓缩脱水车间产生的臭气经收集后通过1套生物除臭滤池处理后排放，风量为15000m</w:t>
            </w:r>
            <w:r>
              <w:rPr>
                <w:rFonts w:hint="eastAsia" w:ascii="宋体" w:hAnsi="宋体" w:eastAsia="宋体" w:cs="宋体"/>
                <w:color w:val="000000" w:themeColor="text1"/>
                <w:kern w:val="0"/>
                <w:sz w:val="21"/>
                <w:szCs w:val="21"/>
                <w:vertAlign w:val="superscript"/>
                <w:lang w:val="en-US" w:eastAsia="zh-CN" w:bidi="ar"/>
                <w14:textFill>
                  <w14:solidFill>
                    <w14:schemeClr w14:val="tx1"/>
                  </w14:solidFill>
                </w14:textFill>
              </w:rPr>
              <w:t>3</w:t>
            </w:r>
            <w:r>
              <w:rPr>
                <w:rFonts w:hint="eastAsia" w:ascii="宋体" w:hAnsi="宋体" w:eastAsia="宋体" w:cs="宋体"/>
                <w:color w:val="000000" w:themeColor="text1"/>
                <w:kern w:val="0"/>
                <w:sz w:val="21"/>
                <w:szCs w:val="21"/>
                <w:lang w:val="en-US" w:eastAsia="zh-CN" w:bidi="ar"/>
                <w14:textFill>
                  <w14:solidFill>
                    <w14:schemeClr w14:val="tx1"/>
                  </w14:solidFill>
                </w14:textFill>
              </w:rPr>
              <w:t>/h。</w:t>
            </w:r>
          </w:p>
        </w:tc>
      </w:tr>
      <w:tr w14:paraId="37D678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5" w:type="pct"/>
            <w:vMerge w:val="continue"/>
            <w:tcBorders>
              <w:tl2br w:val="nil"/>
              <w:tr2bl w:val="nil"/>
            </w:tcBorders>
            <w:vAlign w:val="center"/>
          </w:tcPr>
          <w:p w14:paraId="3A72EBB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p>
        </w:tc>
        <w:tc>
          <w:tcPr>
            <w:tcW w:w="269" w:type="pct"/>
            <w:vMerge w:val="restart"/>
            <w:tcBorders>
              <w:tl2br w:val="nil"/>
              <w:tr2bl w:val="nil"/>
            </w:tcBorders>
            <w:vAlign w:val="center"/>
          </w:tcPr>
          <w:p w14:paraId="59CE3EB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废气</w:t>
            </w:r>
          </w:p>
        </w:tc>
        <w:tc>
          <w:tcPr>
            <w:tcW w:w="560" w:type="pct"/>
            <w:tcBorders>
              <w:tl2br w:val="nil"/>
              <w:tr2bl w:val="nil"/>
            </w:tcBorders>
            <w:shd w:val="clear" w:color="auto" w:fill="auto"/>
            <w:vAlign w:val="center"/>
          </w:tcPr>
          <w:p w14:paraId="11A22CF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施工期</w:t>
            </w:r>
          </w:p>
        </w:tc>
        <w:tc>
          <w:tcPr>
            <w:tcW w:w="1672" w:type="pct"/>
            <w:tcBorders>
              <w:tl2br w:val="nil"/>
              <w:tr2bl w:val="nil"/>
            </w:tcBorders>
            <w:vAlign w:val="center"/>
          </w:tcPr>
          <w:p w14:paraId="02F7925F">
            <w:pPr>
              <w:keepNext w:val="0"/>
              <w:keepLines w:val="0"/>
              <w:widowControl/>
              <w:suppressLineNumbers w:val="0"/>
              <w:jc w:val="both"/>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主要为设备安装，生活污水依托已建成一阶段的污水处理厂进行处理。</w:t>
            </w:r>
          </w:p>
        </w:tc>
        <w:tc>
          <w:tcPr>
            <w:tcW w:w="458" w:type="pct"/>
            <w:tcBorders>
              <w:tl2br w:val="nil"/>
              <w:tr2bl w:val="nil"/>
            </w:tcBorders>
            <w:vAlign w:val="center"/>
          </w:tcPr>
          <w:p w14:paraId="40585117">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w:t>
            </w:r>
          </w:p>
        </w:tc>
        <w:tc>
          <w:tcPr>
            <w:tcW w:w="1763" w:type="pct"/>
            <w:tcBorders>
              <w:tl2br w:val="nil"/>
              <w:tr2bl w:val="nil"/>
            </w:tcBorders>
            <w:shd w:val="clear" w:color="auto" w:fill="auto"/>
            <w:vAlign w:val="center"/>
          </w:tcPr>
          <w:p w14:paraId="6E5F6CB8">
            <w:pPr>
              <w:keepNext w:val="0"/>
              <w:keepLines w:val="0"/>
              <w:widowControl/>
              <w:suppressLineNumbers w:val="0"/>
              <w:jc w:val="both"/>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主要为设备安装，生活污水依托已建成一阶段的污水处理厂进行处理。</w:t>
            </w:r>
          </w:p>
        </w:tc>
      </w:tr>
      <w:tr w14:paraId="31CA84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5" w:type="pct"/>
            <w:vMerge w:val="continue"/>
            <w:tcBorders>
              <w:tl2br w:val="nil"/>
              <w:tr2bl w:val="nil"/>
            </w:tcBorders>
            <w:vAlign w:val="center"/>
          </w:tcPr>
          <w:p w14:paraId="53B6446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p>
        </w:tc>
        <w:tc>
          <w:tcPr>
            <w:tcW w:w="269" w:type="pct"/>
            <w:vMerge w:val="continue"/>
            <w:tcBorders>
              <w:tl2br w:val="nil"/>
              <w:tr2bl w:val="nil"/>
            </w:tcBorders>
            <w:vAlign w:val="center"/>
          </w:tcPr>
          <w:p w14:paraId="676B5E2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p>
        </w:tc>
        <w:tc>
          <w:tcPr>
            <w:tcW w:w="560" w:type="pct"/>
            <w:tcBorders>
              <w:tl2br w:val="nil"/>
              <w:tr2bl w:val="nil"/>
            </w:tcBorders>
            <w:shd w:val="clear" w:color="auto" w:fill="auto"/>
            <w:vAlign w:val="center"/>
          </w:tcPr>
          <w:p w14:paraId="38E490C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运营期</w:t>
            </w:r>
          </w:p>
        </w:tc>
        <w:tc>
          <w:tcPr>
            <w:tcW w:w="1672" w:type="pct"/>
            <w:tcBorders>
              <w:tl2br w:val="nil"/>
              <w:tr2bl w:val="nil"/>
            </w:tcBorders>
            <w:vAlign w:val="center"/>
          </w:tcPr>
          <w:p w14:paraId="5FEEEADE">
            <w:pPr>
              <w:keepNext w:val="0"/>
              <w:keepLines w:val="0"/>
              <w:widowControl/>
              <w:suppressLineNumbers w:val="0"/>
              <w:jc w:val="both"/>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①纳管污水经“改良型AAO氧化沟工艺+高效沉淀+反硝化深床滤池”处理后达到《城镇污水处理厂污染物排放标准》（GB18918-2002）中一级A标准，排入双桥河。</w:t>
            </w:r>
          </w:p>
          <w:p w14:paraId="26F55FCD">
            <w:pPr>
              <w:keepNext w:val="0"/>
              <w:keepLines w:val="0"/>
              <w:widowControl/>
              <w:suppressLineNumbers w:val="0"/>
              <w:jc w:val="both"/>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②厂区实行雨污分流，厂区内的生活污水经化粪池处理后与纳管污水一并进行处理，排入双桥河。</w:t>
            </w:r>
          </w:p>
        </w:tc>
        <w:tc>
          <w:tcPr>
            <w:tcW w:w="458" w:type="pct"/>
            <w:tcBorders>
              <w:tl2br w:val="nil"/>
              <w:tr2bl w:val="nil"/>
            </w:tcBorders>
            <w:vAlign w:val="center"/>
          </w:tcPr>
          <w:p w14:paraId="76A249C8">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w:t>
            </w:r>
          </w:p>
        </w:tc>
        <w:tc>
          <w:tcPr>
            <w:tcW w:w="1763" w:type="pct"/>
            <w:tcBorders>
              <w:tl2br w:val="nil"/>
              <w:tr2bl w:val="nil"/>
            </w:tcBorders>
            <w:shd w:val="clear" w:color="auto" w:fill="auto"/>
            <w:vAlign w:val="center"/>
          </w:tcPr>
          <w:p w14:paraId="49C3790C">
            <w:pPr>
              <w:keepNext w:val="0"/>
              <w:keepLines w:val="0"/>
              <w:widowControl/>
              <w:suppressLineNumbers w:val="0"/>
              <w:jc w:val="both"/>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①纳管污水经“改良型AAO氧化沟工艺+高效沉淀+</w:t>
            </w: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磁混凝除氟沉淀系统+</w:t>
            </w:r>
            <w:r>
              <w:rPr>
                <w:rFonts w:hint="eastAsia" w:ascii="宋体" w:hAnsi="宋体" w:eastAsia="宋体" w:cs="宋体"/>
                <w:color w:val="000000" w:themeColor="text1"/>
                <w:kern w:val="0"/>
                <w:sz w:val="21"/>
                <w:szCs w:val="21"/>
                <w:lang w:val="en-US" w:eastAsia="zh-CN" w:bidi="ar"/>
                <w14:textFill>
                  <w14:solidFill>
                    <w14:schemeClr w14:val="tx1"/>
                  </w14:solidFill>
                </w14:textFill>
              </w:rPr>
              <w:t>反硝化深床滤池”处理后达到《城镇污水处理厂污染物排放标准》（GB18918-2002）中一级A标准，排入双桥河。</w:t>
            </w:r>
          </w:p>
          <w:p w14:paraId="1E1EC9E1">
            <w:pPr>
              <w:keepNext w:val="0"/>
              <w:keepLines w:val="0"/>
              <w:widowControl/>
              <w:suppressLineNumbers w:val="0"/>
              <w:jc w:val="both"/>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②厂区实行雨污分流，厂区内的生活污水经化粪池处理后与纳管污水一并进行处理，排入双桥河。</w:t>
            </w:r>
          </w:p>
        </w:tc>
      </w:tr>
      <w:tr w14:paraId="5801B9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5" w:type="pct"/>
            <w:vMerge w:val="continue"/>
            <w:tcBorders>
              <w:tl2br w:val="nil"/>
              <w:tr2bl w:val="nil"/>
            </w:tcBorders>
            <w:vAlign w:val="center"/>
          </w:tcPr>
          <w:p w14:paraId="5217E31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p>
        </w:tc>
        <w:tc>
          <w:tcPr>
            <w:tcW w:w="269" w:type="pct"/>
            <w:vMerge w:val="restart"/>
            <w:tcBorders>
              <w:tl2br w:val="nil"/>
              <w:tr2bl w:val="nil"/>
            </w:tcBorders>
            <w:vAlign w:val="center"/>
          </w:tcPr>
          <w:p w14:paraId="563AF04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噪声</w:t>
            </w:r>
          </w:p>
        </w:tc>
        <w:tc>
          <w:tcPr>
            <w:tcW w:w="560" w:type="pct"/>
            <w:tcBorders>
              <w:tl2br w:val="nil"/>
              <w:tr2bl w:val="nil"/>
            </w:tcBorders>
            <w:shd w:val="clear" w:color="auto" w:fill="auto"/>
            <w:vAlign w:val="center"/>
          </w:tcPr>
          <w:p w14:paraId="1C57D9F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施工期</w:t>
            </w:r>
          </w:p>
        </w:tc>
        <w:tc>
          <w:tcPr>
            <w:tcW w:w="1672" w:type="pct"/>
            <w:tcBorders>
              <w:tl2br w:val="nil"/>
              <w:tr2bl w:val="nil"/>
            </w:tcBorders>
            <w:vAlign w:val="center"/>
          </w:tcPr>
          <w:p w14:paraId="21E5D0EA">
            <w:pPr>
              <w:keepNext w:val="0"/>
              <w:keepLines w:val="0"/>
              <w:widowControl/>
              <w:suppressLineNumbers w:val="0"/>
              <w:jc w:val="both"/>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主要为设备安装，合理安排施工时间；尽量选用低噪音、低振动的各类施工机械设备，避免高噪音机械设备同时作业。</w:t>
            </w:r>
          </w:p>
        </w:tc>
        <w:tc>
          <w:tcPr>
            <w:tcW w:w="458" w:type="pct"/>
            <w:tcBorders>
              <w:tl2br w:val="nil"/>
              <w:tr2bl w:val="nil"/>
            </w:tcBorders>
            <w:vAlign w:val="center"/>
          </w:tcPr>
          <w:p w14:paraId="6AF86B5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w:t>
            </w:r>
          </w:p>
        </w:tc>
        <w:tc>
          <w:tcPr>
            <w:tcW w:w="1763" w:type="pct"/>
            <w:tcBorders>
              <w:tl2br w:val="nil"/>
              <w:tr2bl w:val="nil"/>
            </w:tcBorders>
            <w:vAlign w:val="center"/>
          </w:tcPr>
          <w:p w14:paraId="42C21CCA">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FF"/>
                <w:kern w:val="0"/>
                <w:sz w:val="21"/>
                <w:szCs w:val="21"/>
                <w:vertAlign w:val="baseline"/>
                <w:lang w:val="en-US" w:eastAsia="zh-CN" w:bidi="ar"/>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主要为设备安装，已合理安排施工时间，并选用低噪音、低振动的各类施工机械设备，避免高噪音机械设备同时作业。</w:t>
            </w:r>
          </w:p>
        </w:tc>
      </w:tr>
      <w:tr w14:paraId="31C972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5" w:type="pct"/>
            <w:vMerge w:val="continue"/>
            <w:tcBorders>
              <w:tl2br w:val="nil"/>
              <w:tr2bl w:val="nil"/>
            </w:tcBorders>
            <w:vAlign w:val="center"/>
          </w:tcPr>
          <w:p w14:paraId="31C1F69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p>
        </w:tc>
        <w:tc>
          <w:tcPr>
            <w:tcW w:w="269" w:type="pct"/>
            <w:vMerge w:val="continue"/>
            <w:tcBorders>
              <w:tl2br w:val="nil"/>
              <w:tr2bl w:val="nil"/>
            </w:tcBorders>
            <w:vAlign w:val="center"/>
          </w:tcPr>
          <w:p w14:paraId="0603EEA7">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p>
        </w:tc>
        <w:tc>
          <w:tcPr>
            <w:tcW w:w="560" w:type="pct"/>
            <w:tcBorders>
              <w:tl2br w:val="nil"/>
              <w:tr2bl w:val="nil"/>
            </w:tcBorders>
            <w:shd w:val="clear" w:color="auto" w:fill="auto"/>
            <w:vAlign w:val="center"/>
          </w:tcPr>
          <w:p w14:paraId="0005988D">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运营期</w:t>
            </w:r>
          </w:p>
        </w:tc>
        <w:tc>
          <w:tcPr>
            <w:tcW w:w="1672" w:type="pct"/>
            <w:tcBorders>
              <w:tl2br w:val="nil"/>
              <w:tr2bl w:val="nil"/>
            </w:tcBorders>
            <w:vAlign w:val="center"/>
          </w:tcPr>
          <w:p w14:paraId="24D9FB9B">
            <w:pPr>
              <w:keepNext w:val="0"/>
              <w:keepLines w:val="0"/>
              <w:widowControl/>
              <w:suppressLineNumbers w:val="0"/>
              <w:jc w:val="both"/>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对二阶段新增的高噪声设备设置减振基座</w:t>
            </w:r>
          </w:p>
        </w:tc>
        <w:tc>
          <w:tcPr>
            <w:tcW w:w="458" w:type="pct"/>
            <w:tcBorders>
              <w:tl2br w:val="nil"/>
              <w:tr2bl w:val="nil"/>
            </w:tcBorders>
            <w:vAlign w:val="center"/>
          </w:tcPr>
          <w:p w14:paraId="70DE81B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w:t>
            </w:r>
          </w:p>
        </w:tc>
        <w:tc>
          <w:tcPr>
            <w:tcW w:w="1763" w:type="pct"/>
            <w:tcBorders>
              <w:tl2br w:val="nil"/>
              <w:tr2bl w:val="nil"/>
            </w:tcBorders>
            <w:vAlign w:val="center"/>
          </w:tcPr>
          <w:p w14:paraId="132033B1">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FF"/>
                <w:kern w:val="0"/>
                <w:sz w:val="21"/>
                <w:szCs w:val="21"/>
                <w:vertAlign w:val="baseline"/>
                <w:lang w:val="en-US" w:eastAsia="zh-CN" w:bidi="ar"/>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对二阶段新增的高噪声设备设置减振基座等措施</w:t>
            </w:r>
          </w:p>
        </w:tc>
      </w:tr>
      <w:tr w14:paraId="667CE0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5" w:type="pct"/>
            <w:vMerge w:val="continue"/>
            <w:tcBorders>
              <w:tl2br w:val="nil"/>
              <w:tr2bl w:val="nil"/>
            </w:tcBorders>
            <w:vAlign w:val="center"/>
          </w:tcPr>
          <w:p w14:paraId="30395464">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p>
        </w:tc>
        <w:tc>
          <w:tcPr>
            <w:tcW w:w="269" w:type="pct"/>
            <w:vMerge w:val="restart"/>
            <w:tcBorders>
              <w:tl2br w:val="nil"/>
              <w:tr2bl w:val="nil"/>
            </w:tcBorders>
            <w:vAlign w:val="center"/>
          </w:tcPr>
          <w:p w14:paraId="2157B61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固废</w:t>
            </w:r>
          </w:p>
        </w:tc>
        <w:tc>
          <w:tcPr>
            <w:tcW w:w="560" w:type="pct"/>
            <w:tcBorders>
              <w:tl2br w:val="nil"/>
              <w:tr2bl w:val="nil"/>
            </w:tcBorders>
            <w:shd w:val="clear" w:color="auto" w:fill="auto"/>
            <w:vAlign w:val="center"/>
          </w:tcPr>
          <w:p w14:paraId="3184C5A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施工期</w:t>
            </w:r>
          </w:p>
        </w:tc>
        <w:tc>
          <w:tcPr>
            <w:tcW w:w="1672" w:type="pct"/>
            <w:tcBorders>
              <w:tl2br w:val="nil"/>
              <w:tr2bl w:val="nil"/>
            </w:tcBorders>
            <w:vAlign w:val="center"/>
          </w:tcPr>
          <w:p w14:paraId="4F60B969">
            <w:pPr>
              <w:keepNext w:val="0"/>
              <w:keepLines w:val="0"/>
              <w:widowControl/>
              <w:suppressLineNumbers w:val="0"/>
              <w:jc w:val="both"/>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主要固废为生活垃圾，生活垃圾由环卫部门清运。</w:t>
            </w:r>
          </w:p>
        </w:tc>
        <w:tc>
          <w:tcPr>
            <w:tcW w:w="458" w:type="pct"/>
            <w:tcBorders>
              <w:tl2br w:val="nil"/>
              <w:tr2bl w:val="nil"/>
            </w:tcBorders>
            <w:vAlign w:val="center"/>
          </w:tcPr>
          <w:p w14:paraId="1A34EFC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w:t>
            </w:r>
          </w:p>
        </w:tc>
        <w:tc>
          <w:tcPr>
            <w:tcW w:w="1763" w:type="pct"/>
            <w:tcBorders>
              <w:tl2br w:val="nil"/>
              <w:tr2bl w:val="nil"/>
            </w:tcBorders>
            <w:vAlign w:val="center"/>
          </w:tcPr>
          <w:p w14:paraId="0CE31C44">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FF"/>
                <w:kern w:val="0"/>
                <w:sz w:val="21"/>
                <w:szCs w:val="21"/>
                <w:vertAlign w:val="baseline"/>
                <w:lang w:val="en-US" w:eastAsia="zh-CN" w:bidi="ar"/>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施工期内主要固废为生活垃圾，生活垃圾由环卫部门清运。</w:t>
            </w:r>
          </w:p>
        </w:tc>
      </w:tr>
      <w:tr w14:paraId="102AC2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275" w:type="pct"/>
            <w:vMerge w:val="continue"/>
            <w:tcBorders>
              <w:tl2br w:val="nil"/>
              <w:tr2bl w:val="nil"/>
            </w:tcBorders>
            <w:vAlign w:val="center"/>
          </w:tcPr>
          <w:p w14:paraId="070CBED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p>
        </w:tc>
        <w:tc>
          <w:tcPr>
            <w:tcW w:w="269" w:type="pct"/>
            <w:vMerge w:val="continue"/>
            <w:tcBorders>
              <w:tl2br w:val="nil"/>
              <w:tr2bl w:val="nil"/>
            </w:tcBorders>
            <w:vAlign w:val="center"/>
          </w:tcPr>
          <w:p w14:paraId="4C2F3C2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p>
        </w:tc>
        <w:tc>
          <w:tcPr>
            <w:tcW w:w="560" w:type="pct"/>
            <w:tcBorders>
              <w:tl2br w:val="nil"/>
              <w:tr2bl w:val="nil"/>
            </w:tcBorders>
            <w:shd w:val="clear" w:color="auto" w:fill="auto"/>
            <w:vAlign w:val="center"/>
          </w:tcPr>
          <w:p w14:paraId="74C382D6">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运营期</w:t>
            </w:r>
          </w:p>
        </w:tc>
        <w:tc>
          <w:tcPr>
            <w:tcW w:w="1672" w:type="pct"/>
            <w:tcBorders>
              <w:tl2br w:val="nil"/>
              <w:tr2bl w:val="nil"/>
            </w:tcBorders>
            <w:vAlign w:val="center"/>
          </w:tcPr>
          <w:p w14:paraId="23706028">
            <w:pPr>
              <w:keepNext w:val="0"/>
              <w:keepLines w:val="0"/>
              <w:widowControl/>
              <w:suppressLineNumbers w:val="0"/>
              <w:jc w:val="both"/>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①污泥：需按照《危险废物鉴别标准通则》（GB 5085.7-2007）对污泥进行危废鉴定。未鉴定前按危险废物要求管理和贮存。鉴定后，若不属于危险废物，则经带式污泥浓缩脱水机处理，脱水至80％后集中运送至和县污水处理厂（国祯环保集团运营）污泥处置中心处理。若属于危险废物则需委托有资质单位安全处理处置；</w:t>
            </w:r>
          </w:p>
          <w:p w14:paraId="3950D030">
            <w:pPr>
              <w:keepNext w:val="0"/>
              <w:keepLines w:val="0"/>
              <w:widowControl/>
              <w:suppressLineNumbers w:val="0"/>
              <w:jc w:val="both"/>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②栅渣、沉砂统一外运至和县生活垃圾卫生填埋场填；</w:t>
            </w:r>
          </w:p>
          <w:p w14:paraId="276F498C">
            <w:pPr>
              <w:keepNext w:val="0"/>
              <w:keepLines w:val="0"/>
              <w:widowControl/>
              <w:suppressLineNumbers w:val="0"/>
              <w:jc w:val="both"/>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③废润滑油委托有资质单位处理处置；</w:t>
            </w:r>
          </w:p>
          <w:p w14:paraId="679A76E2">
            <w:pPr>
              <w:keepNext w:val="0"/>
              <w:keepLines w:val="0"/>
              <w:widowControl/>
              <w:suppressLineNumbers w:val="0"/>
              <w:jc w:val="both"/>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④生活垃圾交由环卫部门统一清运。</w:t>
            </w:r>
          </w:p>
        </w:tc>
        <w:tc>
          <w:tcPr>
            <w:tcW w:w="458" w:type="pct"/>
            <w:tcBorders>
              <w:tl2br w:val="nil"/>
              <w:tr2bl w:val="nil"/>
            </w:tcBorders>
            <w:vAlign w:val="center"/>
          </w:tcPr>
          <w:p w14:paraId="73F4C3E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w:t>
            </w:r>
          </w:p>
        </w:tc>
        <w:tc>
          <w:tcPr>
            <w:tcW w:w="1763" w:type="pct"/>
            <w:tcBorders>
              <w:tl2br w:val="nil"/>
              <w:tr2bl w:val="nil"/>
            </w:tcBorders>
            <w:vAlign w:val="center"/>
          </w:tcPr>
          <w:p w14:paraId="10E07583">
            <w:pPr>
              <w:keepNext w:val="0"/>
              <w:keepLines w:val="0"/>
              <w:widowControl/>
              <w:suppressLineNumbers w:val="0"/>
              <w:jc w:val="both"/>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①污泥：运营期内产生的污泥为一般固废委托和县第一污水处理厂处理干化；</w:t>
            </w:r>
          </w:p>
          <w:p w14:paraId="53770DF7">
            <w:pPr>
              <w:keepNext w:val="0"/>
              <w:keepLines w:val="0"/>
              <w:widowControl/>
              <w:suppressLineNumbers w:val="0"/>
              <w:jc w:val="both"/>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②栅渣、沉砂统一外运至和县生活垃圾卫生填埋场填；</w:t>
            </w:r>
          </w:p>
          <w:p w14:paraId="229F8E8A">
            <w:pPr>
              <w:keepNext w:val="0"/>
              <w:keepLines w:val="0"/>
              <w:widowControl/>
              <w:suppressLineNumbers w:val="0"/>
              <w:jc w:val="both"/>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③废润滑油委托有资质单位处理处置；</w:t>
            </w:r>
          </w:p>
          <w:p w14:paraId="32324D30">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FF"/>
                <w:kern w:val="0"/>
                <w:sz w:val="21"/>
                <w:szCs w:val="21"/>
                <w:vertAlign w:val="baseline"/>
                <w:lang w:val="en-US" w:eastAsia="zh-CN" w:bidi="ar"/>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④生活垃圾交由环卫部门统一清运。</w:t>
            </w:r>
          </w:p>
        </w:tc>
      </w:tr>
      <w:tr w14:paraId="212C43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5" w:type="pct"/>
            <w:vMerge w:val="continue"/>
            <w:tcBorders>
              <w:tl2br w:val="nil"/>
              <w:tr2bl w:val="nil"/>
            </w:tcBorders>
            <w:vAlign w:val="center"/>
          </w:tcPr>
          <w:p w14:paraId="515AA97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p>
        </w:tc>
        <w:tc>
          <w:tcPr>
            <w:tcW w:w="829" w:type="pct"/>
            <w:gridSpan w:val="2"/>
            <w:tcBorders>
              <w:tl2br w:val="nil"/>
              <w:tr2bl w:val="nil"/>
            </w:tcBorders>
            <w:vAlign w:val="center"/>
          </w:tcPr>
          <w:p w14:paraId="6F1736B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地下水</w:t>
            </w:r>
          </w:p>
        </w:tc>
        <w:tc>
          <w:tcPr>
            <w:tcW w:w="1672" w:type="pct"/>
            <w:tcBorders>
              <w:tl2br w:val="nil"/>
              <w:tr2bl w:val="nil"/>
            </w:tcBorders>
            <w:vAlign w:val="center"/>
          </w:tcPr>
          <w:p w14:paraId="442E776D">
            <w:pPr>
              <w:keepNext w:val="0"/>
              <w:keepLines w:val="0"/>
              <w:widowControl/>
              <w:suppressLineNumbers w:val="0"/>
              <w:jc w:val="both"/>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主要为设备安装，分区防渗等措施依托一阶段。</w:t>
            </w:r>
          </w:p>
        </w:tc>
        <w:tc>
          <w:tcPr>
            <w:tcW w:w="458" w:type="pct"/>
            <w:tcBorders>
              <w:tl2br w:val="nil"/>
              <w:tr2bl w:val="nil"/>
            </w:tcBorders>
            <w:vAlign w:val="center"/>
          </w:tcPr>
          <w:p w14:paraId="1B6AB497">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w:t>
            </w:r>
          </w:p>
        </w:tc>
        <w:tc>
          <w:tcPr>
            <w:tcW w:w="1763" w:type="pct"/>
            <w:tcBorders>
              <w:tl2br w:val="nil"/>
              <w:tr2bl w:val="nil"/>
            </w:tcBorders>
            <w:vAlign w:val="center"/>
          </w:tcPr>
          <w:p w14:paraId="0C68C10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FF"/>
                <w:kern w:val="0"/>
                <w:sz w:val="21"/>
                <w:szCs w:val="21"/>
                <w:vertAlign w:val="baseline"/>
                <w:lang w:val="en-US" w:eastAsia="zh-CN" w:bidi="ar"/>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依托一阶段</w:t>
            </w:r>
          </w:p>
        </w:tc>
      </w:tr>
      <w:tr w14:paraId="07ADB4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5" w:type="pct"/>
            <w:vMerge w:val="continue"/>
            <w:tcBorders>
              <w:tl2br w:val="nil"/>
              <w:tr2bl w:val="nil"/>
            </w:tcBorders>
            <w:vAlign w:val="center"/>
          </w:tcPr>
          <w:p w14:paraId="707B86B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p>
        </w:tc>
        <w:tc>
          <w:tcPr>
            <w:tcW w:w="829" w:type="pct"/>
            <w:gridSpan w:val="2"/>
            <w:tcBorders>
              <w:tl2br w:val="nil"/>
              <w:tr2bl w:val="nil"/>
            </w:tcBorders>
            <w:vAlign w:val="center"/>
          </w:tcPr>
          <w:p w14:paraId="3C6DAB6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环境风险</w:t>
            </w:r>
          </w:p>
        </w:tc>
        <w:tc>
          <w:tcPr>
            <w:tcW w:w="1672" w:type="pct"/>
            <w:tcBorders>
              <w:tl2br w:val="nil"/>
              <w:tr2bl w:val="nil"/>
            </w:tcBorders>
            <w:vAlign w:val="center"/>
          </w:tcPr>
          <w:p w14:paraId="0A72D289">
            <w:pPr>
              <w:keepNext w:val="0"/>
              <w:keepLines w:val="0"/>
              <w:widowControl/>
              <w:suppressLineNumbers w:val="0"/>
              <w:jc w:val="both"/>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主要为设备安装，事故废水截断等风险防范措施依托一阶段。</w:t>
            </w:r>
          </w:p>
        </w:tc>
        <w:tc>
          <w:tcPr>
            <w:tcW w:w="458" w:type="pct"/>
            <w:tcBorders>
              <w:tl2br w:val="nil"/>
              <w:tr2bl w:val="nil"/>
            </w:tcBorders>
            <w:vAlign w:val="center"/>
          </w:tcPr>
          <w:p w14:paraId="1055149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w:t>
            </w:r>
          </w:p>
        </w:tc>
        <w:tc>
          <w:tcPr>
            <w:tcW w:w="1763" w:type="pct"/>
            <w:tcBorders>
              <w:tl2br w:val="nil"/>
              <w:tr2bl w:val="nil"/>
            </w:tcBorders>
            <w:vAlign w:val="center"/>
          </w:tcPr>
          <w:p w14:paraId="1DFA8EF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FF"/>
                <w:kern w:val="0"/>
                <w:sz w:val="21"/>
                <w:szCs w:val="21"/>
                <w:vertAlign w:val="baseline"/>
                <w:lang w:val="en-US" w:eastAsia="zh-CN" w:bidi="ar"/>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依托一阶段</w:t>
            </w:r>
          </w:p>
        </w:tc>
      </w:tr>
    </w:tbl>
    <w:p w14:paraId="124ADF64">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color w:val="0000FF"/>
          <w:kern w:val="0"/>
          <w:sz w:val="24"/>
          <w:szCs w:val="24"/>
          <w:lang w:val="en-US" w:eastAsia="zh-CN" w:bidi="ar"/>
        </w:rPr>
        <w:sectPr>
          <w:pgSz w:w="16838" w:h="11906" w:orient="landscape"/>
          <w:pgMar w:top="1800" w:right="1440" w:bottom="1800" w:left="1440" w:header="1191"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p w14:paraId="451DDA57">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表3.2-2</w:t>
      </w:r>
      <w:r>
        <w:rPr>
          <w:rFonts w:hint="eastAsia" w:ascii="宋体" w:hAnsi="宋体" w:cs="宋体"/>
          <w:b/>
          <w:bCs/>
          <w:color w:val="000000"/>
          <w:kern w:val="0"/>
          <w:sz w:val="24"/>
          <w:szCs w:val="24"/>
          <w:lang w:val="en-US" w:eastAsia="zh-CN" w:bidi="ar"/>
        </w:rPr>
        <w:t xml:space="preserve">  </w:t>
      </w:r>
      <w:r>
        <w:rPr>
          <w:rFonts w:hint="eastAsia" w:ascii="宋体" w:hAnsi="宋体" w:eastAsia="宋体" w:cs="宋体"/>
          <w:b/>
          <w:bCs/>
          <w:color w:val="000000"/>
          <w:kern w:val="0"/>
          <w:sz w:val="24"/>
          <w:szCs w:val="24"/>
          <w:lang w:val="en-US" w:eastAsia="zh-CN" w:bidi="ar"/>
        </w:rPr>
        <w:t>一期</w:t>
      </w:r>
      <w:r>
        <w:rPr>
          <w:rFonts w:hint="eastAsia" w:ascii="宋体" w:hAnsi="宋体" w:cs="宋体"/>
          <w:b/>
          <w:bCs/>
          <w:color w:val="000000"/>
          <w:kern w:val="0"/>
          <w:sz w:val="24"/>
          <w:szCs w:val="24"/>
          <w:lang w:val="en-US" w:eastAsia="zh-CN" w:bidi="ar"/>
        </w:rPr>
        <w:t>二</w:t>
      </w:r>
      <w:r>
        <w:rPr>
          <w:rFonts w:hint="eastAsia" w:ascii="宋体" w:hAnsi="宋体" w:eastAsia="宋体" w:cs="宋体"/>
          <w:b/>
          <w:bCs/>
          <w:color w:val="000000"/>
          <w:kern w:val="0"/>
          <w:sz w:val="24"/>
          <w:szCs w:val="24"/>
          <w:lang w:val="en-US" w:eastAsia="zh-CN" w:bidi="ar"/>
        </w:rPr>
        <w:t>阶段工程主要工艺设备表</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86"/>
        <w:gridCol w:w="1396"/>
        <w:gridCol w:w="3416"/>
        <w:gridCol w:w="553"/>
        <w:gridCol w:w="839"/>
        <w:gridCol w:w="839"/>
        <w:gridCol w:w="793"/>
      </w:tblGrid>
      <w:tr w14:paraId="27F005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686" w:type="dxa"/>
            <w:vMerge w:val="restart"/>
            <w:tcBorders>
              <w:tl2br w:val="nil"/>
              <w:tr2bl w:val="nil"/>
            </w:tcBorders>
            <w:vAlign w:val="center"/>
          </w:tcPr>
          <w:p w14:paraId="1D8E6A26">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序号</w:t>
            </w:r>
          </w:p>
        </w:tc>
        <w:tc>
          <w:tcPr>
            <w:tcW w:w="1397" w:type="dxa"/>
            <w:vMerge w:val="restart"/>
            <w:tcBorders>
              <w:tl2br w:val="nil"/>
              <w:tr2bl w:val="nil"/>
            </w:tcBorders>
            <w:vAlign w:val="center"/>
          </w:tcPr>
          <w:p w14:paraId="58C89426">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设备名称</w:t>
            </w:r>
          </w:p>
        </w:tc>
        <w:tc>
          <w:tcPr>
            <w:tcW w:w="0" w:type="auto"/>
            <w:vMerge w:val="restart"/>
            <w:tcBorders>
              <w:tl2br w:val="nil"/>
              <w:tr2bl w:val="nil"/>
            </w:tcBorders>
            <w:vAlign w:val="center"/>
          </w:tcPr>
          <w:p w14:paraId="44538D30">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型号规格</w:t>
            </w:r>
          </w:p>
        </w:tc>
        <w:tc>
          <w:tcPr>
            <w:tcW w:w="0" w:type="auto"/>
            <w:vMerge w:val="restart"/>
            <w:tcBorders>
              <w:tl2br w:val="nil"/>
              <w:tr2bl w:val="nil"/>
            </w:tcBorders>
            <w:vAlign w:val="center"/>
          </w:tcPr>
          <w:p w14:paraId="25B7D3C5">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单位</w:t>
            </w:r>
          </w:p>
        </w:tc>
        <w:tc>
          <w:tcPr>
            <w:tcW w:w="0" w:type="auto"/>
            <w:gridSpan w:val="2"/>
            <w:tcBorders>
              <w:tl2br w:val="nil"/>
              <w:tr2bl w:val="nil"/>
            </w:tcBorders>
            <w:vAlign w:val="center"/>
          </w:tcPr>
          <w:p w14:paraId="14F0795C">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数量</w:t>
            </w:r>
          </w:p>
        </w:tc>
        <w:tc>
          <w:tcPr>
            <w:tcW w:w="0" w:type="auto"/>
            <w:vMerge w:val="restart"/>
            <w:tcBorders>
              <w:tl2br w:val="nil"/>
              <w:tr2bl w:val="nil"/>
            </w:tcBorders>
            <w:vAlign w:val="center"/>
          </w:tcPr>
          <w:p w14:paraId="0C32FB2E">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t>备注</w:t>
            </w:r>
          </w:p>
        </w:tc>
      </w:tr>
      <w:tr w14:paraId="0342C9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Merge w:val="continue"/>
            <w:tcBorders>
              <w:tl2br w:val="nil"/>
              <w:tr2bl w:val="nil"/>
            </w:tcBorders>
            <w:vAlign w:val="center"/>
          </w:tcPr>
          <w:p w14:paraId="0571BA48">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bCs/>
                <w:sz w:val="21"/>
                <w:szCs w:val="21"/>
                <w:vertAlign w:val="baseline"/>
                <w:lang w:val="en-US" w:eastAsia="zh-CN"/>
              </w:rPr>
            </w:pPr>
          </w:p>
        </w:tc>
        <w:tc>
          <w:tcPr>
            <w:tcW w:w="1397" w:type="dxa"/>
            <w:vMerge w:val="continue"/>
            <w:tcBorders>
              <w:tl2br w:val="nil"/>
              <w:tr2bl w:val="nil"/>
            </w:tcBorders>
            <w:vAlign w:val="center"/>
          </w:tcPr>
          <w:p w14:paraId="26F9ABB3">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bCs/>
                <w:sz w:val="21"/>
                <w:szCs w:val="21"/>
                <w:vertAlign w:val="baseline"/>
                <w:lang w:val="en-US" w:eastAsia="zh-CN"/>
              </w:rPr>
            </w:pPr>
          </w:p>
        </w:tc>
        <w:tc>
          <w:tcPr>
            <w:tcW w:w="0" w:type="auto"/>
            <w:vMerge w:val="continue"/>
            <w:tcBorders>
              <w:tl2br w:val="nil"/>
              <w:tr2bl w:val="nil"/>
            </w:tcBorders>
            <w:vAlign w:val="center"/>
          </w:tcPr>
          <w:p w14:paraId="4C332ED7">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bCs/>
                <w:sz w:val="21"/>
                <w:szCs w:val="21"/>
                <w:vertAlign w:val="baseline"/>
                <w:lang w:val="en-US" w:eastAsia="zh-CN"/>
              </w:rPr>
            </w:pPr>
          </w:p>
        </w:tc>
        <w:tc>
          <w:tcPr>
            <w:tcW w:w="0" w:type="auto"/>
            <w:vMerge w:val="continue"/>
            <w:tcBorders>
              <w:tl2br w:val="nil"/>
              <w:tr2bl w:val="nil"/>
            </w:tcBorders>
            <w:vAlign w:val="center"/>
          </w:tcPr>
          <w:p w14:paraId="3D16744D">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bCs/>
                <w:sz w:val="21"/>
                <w:szCs w:val="21"/>
                <w:vertAlign w:val="baseline"/>
                <w:lang w:val="en-US" w:eastAsia="zh-CN"/>
              </w:rPr>
            </w:pPr>
          </w:p>
        </w:tc>
        <w:tc>
          <w:tcPr>
            <w:tcW w:w="0" w:type="auto"/>
            <w:tcBorders>
              <w:tl2br w:val="nil"/>
              <w:tr2bl w:val="nil"/>
            </w:tcBorders>
            <w:vAlign w:val="center"/>
          </w:tcPr>
          <w:p w14:paraId="46BA4132">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环评预估</w:t>
            </w:r>
          </w:p>
        </w:tc>
        <w:tc>
          <w:tcPr>
            <w:tcW w:w="0" w:type="auto"/>
            <w:tcBorders>
              <w:tl2br w:val="nil"/>
              <w:tr2bl w:val="nil"/>
            </w:tcBorders>
            <w:vAlign w:val="center"/>
          </w:tcPr>
          <w:p w14:paraId="26D6E814">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实际安装</w:t>
            </w:r>
          </w:p>
        </w:tc>
        <w:tc>
          <w:tcPr>
            <w:tcW w:w="0" w:type="auto"/>
            <w:vMerge w:val="continue"/>
            <w:tcBorders>
              <w:tl2br w:val="nil"/>
              <w:tr2bl w:val="nil"/>
            </w:tcBorders>
            <w:vAlign w:val="center"/>
          </w:tcPr>
          <w:p w14:paraId="5942E010">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p>
        </w:tc>
      </w:tr>
      <w:tr w14:paraId="34FC3D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037ADEA4">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一</w:t>
            </w:r>
          </w:p>
        </w:tc>
        <w:tc>
          <w:tcPr>
            <w:tcW w:w="7836" w:type="dxa"/>
            <w:gridSpan w:val="6"/>
            <w:tcBorders>
              <w:tl2br w:val="nil"/>
              <w:tr2bl w:val="nil"/>
            </w:tcBorders>
            <w:vAlign w:val="center"/>
          </w:tcPr>
          <w:p w14:paraId="11E06034">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b/>
                <w:bCs/>
                <w:color w:val="000000"/>
                <w:kern w:val="0"/>
                <w:sz w:val="21"/>
                <w:szCs w:val="21"/>
                <w:lang w:val="en-US" w:eastAsia="zh-CN" w:bidi="ar"/>
              </w:rPr>
              <w:t>粗格栅及进水泵房</w:t>
            </w:r>
          </w:p>
        </w:tc>
      </w:tr>
      <w:tr w14:paraId="1CF35C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5C8FDC4D">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397" w:type="dxa"/>
            <w:tcBorders>
              <w:tl2br w:val="nil"/>
              <w:tr2bl w:val="nil"/>
            </w:tcBorders>
            <w:vAlign w:val="center"/>
          </w:tcPr>
          <w:p w14:paraId="17FFD189">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潜水泵</w:t>
            </w:r>
          </w:p>
        </w:tc>
        <w:tc>
          <w:tcPr>
            <w:tcW w:w="0" w:type="auto"/>
            <w:tcBorders>
              <w:tl2br w:val="nil"/>
              <w:tr2bl w:val="nil"/>
            </w:tcBorders>
            <w:vAlign w:val="center"/>
          </w:tcPr>
          <w:p w14:paraId="49AC14CE">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Q=312.5m</w:t>
            </w:r>
            <w:r>
              <w:rPr>
                <w:rFonts w:hint="eastAsia" w:ascii="宋体" w:hAnsi="宋体" w:eastAsia="宋体" w:cs="宋体"/>
                <w:color w:val="000000"/>
                <w:kern w:val="0"/>
                <w:sz w:val="21"/>
                <w:szCs w:val="21"/>
                <w:vertAlign w:val="superscript"/>
                <w:lang w:val="en-US" w:eastAsia="zh-CN" w:bidi="ar"/>
              </w:rPr>
              <w:t>3</w:t>
            </w:r>
            <w:r>
              <w:rPr>
                <w:rFonts w:hint="eastAsia" w:ascii="宋体" w:hAnsi="宋体" w:eastAsia="宋体" w:cs="宋体"/>
                <w:color w:val="000000"/>
                <w:kern w:val="0"/>
                <w:sz w:val="21"/>
                <w:szCs w:val="21"/>
                <w:lang w:val="en-US" w:eastAsia="zh-CN" w:bidi="ar"/>
              </w:rPr>
              <w:t>/h,H=15m,P=30kW</w:t>
            </w:r>
          </w:p>
        </w:tc>
        <w:tc>
          <w:tcPr>
            <w:tcW w:w="0" w:type="auto"/>
            <w:tcBorders>
              <w:tl2br w:val="nil"/>
              <w:tr2bl w:val="nil"/>
            </w:tcBorders>
            <w:vAlign w:val="center"/>
          </w:tcPr>
          <w:p w14:paraId="04C69D7F">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0" w:type="auto"/>
            <w:tcBorders>
              <w:tl2br w:val="nil"/>
              <w:tr2bl w:val="nil"/>
            </w:tcBorders>
            <w:vAlign w:val="center"/>
          </w:tcPr>
          <w:p w14:paraId="00F995D9">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27DE5806">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338BF790">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49CD2A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22294DF5">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397" w:type="dxa"/>
            <w:tcBorders>
              <w:tl2br w:val="nil"/>
              <w:tr2bl w:val="nil"/>
            </w:tcBorders>
            <w:vAlign w:val="center"/>
          </w:tcPr>
          <w:p w14:paraId="5E7E5A21">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柔性管接头</w:t>
            </w:r>
          </w:p>
        </w:tc>
        <w:tc>
          <w:tcPr>
            <w:tcW w:w="0" w:type="auto"/>
            <w:tcBorders>
              <w:tl2br w:val="nil"/>
              <w:tr2bl w:val="nil"/>
            </w:tcBorders>
            <w:vAlign w:val="center"/>
          </w:tcPr>
          <w:p w14:paraId="69525CB4">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DN300</w:t>
            </w:r>
          </w:p>
        </w:tc>
        <w:tc>
          <w:tcPr>
            <w:tcW w:w="0" w:type="auto"/>
            <w:tcBorders>
              <w:tl2br w:val="nil"/>
              <w:tr2bl w:val="nil"/>
            </w:tcBorders>
            <w:vAlign w:val="center"/>
          </w:tcPr>
          <w:p w14:paraId="6E4EFC6E">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个</w:t>
            </w:r>
          </w:p>
        </w:tc>
        <w:tc>
          <w:tcPr>
            <w:tcW w:w="0" w:type="auto"/>
            <w:tcBorders>
              <w:tl2br w:val="nil"/>
              <w:tr2bl w:val="nil"/>
            </w:tcBorders>
            <w:vAlign w:val="center"/>
          </w:tcPr>
          <w:p w14:paraId="6527542B">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2AFD6FFB">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4D7E7FE7">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65D138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11B14F29">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1397" w:type="dxa"/>
            <w:tcBorders>
              <w:tl2br w:val="nil"/>
              <w:tr2bl w:val="nil"/>
            </w:tcBorders>
            <w:vAlign w:val="center"/>
          </w:tcPr>
          <w:p w14:paraId="2BE602C9">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止回阀</w:t>
            </w:r>
          </w:p>
        </w:tc>
        <w:tc>
          <w:tcPr>
            <w:tcW w:w="0" w:type="auto"/>
            <w:tcBorders>
              <w:tl2br w:val="nil"/>
              <w:tr2bl w:val="nil"/>
            </w:tcBorders>
            <w:vAlign w:val="center"/>
          </w:tcPr>
          <w:p w14:paraId="3A345212">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DN300</w:t>
            </w:r>
          </w:p>
        </w:tc>
        <w:tc>
          <w:tcPr>
            <w:tcW w:w="0" w:type="auto"/>
            <w:tcBorders>
              <w:tl2br w:val="nil"/>
              <w:tr2bl w:val="nil"/>
            </w:tcBorders>
            <w:vAlign w:val="center"/>
          </w:tcPr>
          <w:p w14:paraId="053A308E">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个</w:t>
            </w:r>
          </w:p>
        </w:tc>
        <w:tc>
          <w:tcPr>
            <w:tcW w:w="0" w:type="auto"/>
            <w:tcBorders>
              <w:tl2br w:val="nil"/>
              <w:tr2bl w:val="nil"/>
            </w:tcBorders>
            <w:vAlign w:val="center"/>
          </w:tcPr>
          <w:p w14:paraId="337B2E61">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557E7E64">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51B1DD4C">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67B7A2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2A15340C">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二</w:t>
            </w:r>
          </w:p>
        </w:tc>
        <w:tc>
          <w:tcPr>
            <w:tcW w:w="7836" w:type="dxa"/>
            <w:gridSpan w:val="6"/>
            <w:tcBorders>
              <w:tl2br w:val="nil"/>
              <w:tr2bl w:val="nil"/>
            </w:tcBorders>
            <w:vAlign w:val="center"/>
          </w:tcPr>
          <w:p w14:paraId="71B57D6B">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b/>
                <w:bCs/>
                <w:color w:val="000000"/>
                <w:kern w:val="0"/>
                <w:sz w:val="21"/>
                <w:szCs w:val="21"/>
                <w:lang w:val="en-US" w:eastAsia="zh-CN" w:bidi="ar"/>
              </w:rPr>
              <w:t>水解酸化池</w:t>
            </w:r>
          </w:p>
        </w:tc>
      </w:tr>
      <w:tr w14:paraId="1A670F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5AFC6962">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397" w:type="dxa"/>
            <w:tcBorders>
              <w:tl2br w:val="nil"/>
              <w:tr2bl w:val="nil"/>
            </w:tcBorders>
            <w:vAlign w:val="center"/>
          </w:tcPr>
          <w:p w14:paraId="03F3E92F">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污泥泵</w:t>
            </w:r>
          </w:p>
        </w:tc>
        <w:tc>
          <w:tcPr>
            <w:tcW w:w="0" w:type="auto"/>
            <w:tcBorders>
              <w:tl2br w:val="nil"/>
              <w:tr2bl w:val="nil"/>
            </w:tcBorders>
            <w:vAlign w:val="center"/>
          </w:tcPr>
          <w:p w14:paraId="6C5C731E">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Q=20m</w:t>
            </w:r>
            <w:r>
              <w:rPr>
                <w:rFonts w:hint="eastAsia" w:ascii="宋体" w:hAnsi="宋体" w:eastAsia="宋体" w:cs="宋体"/>
                <w:color w:val="000000"/>
                <w:kern w:val="0"/>
                <w:sz w:val="21"/>
                <w:szCs w:val="21"/>
                <w:vertAlign w:val="superscript"/>
                <w:lang w:val="en-US" w:eastAsia="zh-CN" w:bidi="ar"/>
              </w:rPr>
              <w:t>3</w:t>
            </w:r>
            <w:r>
              <w:rPr>
                <w:rFonts w:hint="eastAsia" w:ascii="宋体" w:hAnsi="宋体" w:eastAsia="宋体" w:cs="宋体"/>
                <w:color w:val="000000"/>
                <w:kern w:val="0"/>
                <w:sz w:val="21"/>
                <w:szCs w:val="21"/>
                <w:lang w:val="en-US" w:eastAsia="zh-CN" w:bidi="ar"/>
              </w:rPr>
              <w:t>/h,H=15m,N=3kW</w:t>
            </w:r>
          </w:p>
        </w:tc>
        <w:tc>
          <w:tcPr>
            <w:tcW w:w="0" w:type="auto"/>
            <w:tcBorders>
              <w:tl2br w:val="nil"/>
              <w:tr2bl w:val="nil"/>
            </w:tcBorders>
            <w:vAlign w:val="center"/>
          </w:tcPr>
          <w:p w14:paraId="0035A555">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0" w:type="auto"/>
            <w:tcBorders>
              <w:tl2br w:val="nil"/>
              <w:tr2bl w:val="nil"/>
            </w:tcBorders>
            <w:vAlign w:val="center"/>
          </w:tcPr>
          <w:p w14:paraId="1851744C">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0" w:type="auto"/>
            <w:tcBorders>
              <w:tl2br w:val="nil"/>
              <w:tr2bl w:val="nil"/>
            </w:tcBorders>
            <w:vAlign w:val="center"/>
          </w:tcPr>
          <w:p w14:paraId="4642F969">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0" w:type="auto"/>
            <w:tcBorders>
              <w:tl2br w:val="nil"/>
              <w:tr2bl w:val="nil"/>
            </w:tcBorders>
            <w:vAlign w:val="center"/>
          </w:tcPr>
          <w:p w14:paraId="34533C21">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367358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487AAC7B">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397" w:type="dxa"/>
            <w:tcBorders>
              <w:tl2br w:val="nil"/>
              <w:tr2bl w:val="nil"/>
            </w:tcBorders>
            <w:vAlign w:val="center"/>
          </w:tcPr>
          <w:p w14:paraId="7246F620">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多点布水器</w:t>
            </w:r>
          </w:p>
        </w:tc>
        <w:tc>
          <w:tcPr>
            <w:tcW w:w="0" w:type="auto"/>
            <w:tcBorders>
              <w:tl2br w:val="nil"/>
              <w:tr2bl w:val="nil"/>
            </w:tcBorders>
            <w:vAlign w:val="center"/>
          </w:tcPr>
          <w:p w14:paraId="75169FE8">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Q=30-50m</w:t>
            </w:r>
            <w:r>
              <w:rPr>
                <w:rFonts w:hint="eastAsia" w:ascii="宋体" w:hAnsi="宋体" w:eastAsia="宋体" w:cs="宋体"/>
                <w:color w:val="000000"/>
                <w:kern w:val="0"/>
                <w:sz w:val="21"/>
                <w:szCs w:val="21"/>
                <w:vertAlign w:val="superscript"/>
                <w:lang w:val="en-US" w:eastAsia="zh-CN" w:bidi="ar"/>
              </w:rPr>
              <w:t>3</w:t>
            </w:r>
            <w:r>
              <w:rPr>
                <w:rFonts w:hint="eastAsia" w:ascii="宋体" w:hAnsi="宋体" w:eastAsia="宋体" w:cs="宋体"/>
                <w:color w:val="000000"/>
                <w:kern w:val="0"/>
                <w:sz w:val="21"/>
                <w:szCs w:val="21"/>
                <w:lang w:val="en-US" w:eastAsia="zh-CN" w:bidi="ar"/>
              </w:rPr>
              <w:t>/h,SUS304</w:t>
            </w:r>
          </w:p>
        </w:tc>
        <w:tc>
          <w:tcPr>
            <w:tcW w:w="0" w:type="auto"/>
            <w:tcBorders>
              <w:tl2br w:val="nil"/>
              <w:tr2bl w:val="nil"/>
            </w:tcBorders>
            <w:vAlign w:val="center"/>
          </w:tcPr>
          <w:p w14:paraId="178B1CD4">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0" w:type="auto"/>
            <w:tcBorders>
              <w:tl2br w:val="nil"/>
              <w:tr2bl w:val="nil"/>
            </w:tcBorders>
            <w:vAlign w:val="center"/>
          </w:tcPr>
          <w:p w14:paraId="3A7988FC">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w:t>
            </w:r>
          </w:p>
        </w:tc>
        <w:tc>
          <w:tcPr>
            <w:tcW w:w="0" w:type="auto"/>
            <w:tcBorders>
              <w:tl2br w:val="nil"/>
              <w:tr2bl w:val="nil"/>
            </w:tcBorders>
            <w:vAlign w:val="center"/>
          </w:tcPr>
          <w:p w14:paraId="1E706299">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w:t>
            </w:r>
          </w:p>
        </w:tc>
        <w:tc>
          <w:tcPr>
            <w:tcW w:w="0" w:type="auto"/>
            <w:tcBorders>
              <w:tl2br w:val="nil"/>
              <w:tr2bl w:val="nil"/>
            </w:tcBorders>
            <w:vAlign w:val="center"/>
          </w:tcPr>
          <w:p w14:paraId="4A360381">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07DEA4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5A81F5B9">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1397" w:type="dxa"/>
            <w:tcBorders>
              <w:tl2br w:val="nil"/>
              <w:tr2bl w:val="nil"/>
            </w:tcBorders>
            <w:vAlign w:val="center"/>
          </w:tcPr>
          <w:p w14:paraId="01EE4368">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填料</w:t>
            </w:r>
          </w:p>
        </w:tc>
        <w:tc>
          <w:tcPr>
            <w:tcW w:w="0" w:type="auto"/>
            <w:tcBorders>
              <w:tl2br w:val="nil"/>
              <w:tr2bl w:val="nil"/>
            </w:tcBorders>
            <w:vAlign w:val="center"/>
          </w:tcPr>
          <w:p w14:paraId="5D5B4B74">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4mx2mx1.5m，D=0.3m，倾角：60°</w:t>
            </w:r>
          </w:p>
        </w:tc>
        <w:tc>
          <w:tcPr>
            <w:tcW w:w="0" w:type="auto"/>
            <w:tcBorders>
              <w:tl2br w:val="nil"/>
              <w:tr2bl w:val="nil"/>
            </w:tcBorders>
            <w:vAlign w:val="center"/>
          </w:tcPr>
          <w:p w14:paraId="73CFE20F">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0" w:type="auto"/>
            <w:tcBorders>
              <w:tl2br w:val="nil"/>
              <w:tr2bl w:val="nil"/>
            </w:tcBorders>
            <w:vAlign w:val="center"/>
          </w:tcPr>
          <w:p w14:paraId="39F1CA36">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32</w:t>
            </w:r>
          </w:p>
        </w:tc>
        <w:tc>
          <w:tcPr>
            <w:tcW w:w="0" w:type="auto"/>
            <w:tcBorders>
              <w:tl2br w:val="nil"/>
              <w:tr2bl w:val="nil"/>
            </w:tcBorders>
            <w:vAlign w:val="center"/>
          </w:tcPr>
          <w:p w14:paraId="6F9DBE59">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32</w:t>
            </w:r>
          </w:p>
        </w:tc>
        <w:tc>
          <w:tcPr>
            <w:tcW w:w="0" w:type="auto"/>
            <w:tcBorders>
              <w:tl2br w:val="nil"/>
              <w:tr2bl w:val="nil"/>
            </w:tcBorders>
            <w:vAlign w:val="center"/>
          </w:tcPr>
          <w:p w14:paraId="4B3C7F45">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627A9C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52AD75F1">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p>
        </w:tc>
        <w:tc>
          <w:tcPr>
            <w:tcW w:w="1397" w:type="dxa"/>
            <w:tcBorders>
              <w:tl2br w:val="nil"/>
              <w:tr2bl w:val="nil"/>
            </w:tcBorders>
            <w:vAlign w:val="center"/>
          </w:tcPr>
          <w:p w14:paraId="7F39E117">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三角堰板</w:t>
            </w:r>
          </w:p>
        </w:tc>
        <w:tc>
          <w:tcPr>
            <w:tcW w:w="0" w:type="auto"/>
            <w:tcBorders>
              <w:tl2br w:val="nil"/>
              <w:tr2bl w:val="nil"/>
            </w:tcBorders>
            <w:vAlign w:val="center"/>
          </w:tcPr>
          <w:p w14:paraId="0FACC9FF">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H=300</w:t>
            </w:r>
          </w:p>
        </w:tc>
        <w:tc>
          <w:tcPr>
            <w:tcW w:w="0" w:type="auto"/>
            <w:tcBorders>
              <w:tl2br w:val="nil"/>
              <w:tr2bl w:val="nil"/>
            </w:tcBorders>
            <w:vAlign w:val="center"/>
          </w:tcPr>
          <w:p w14:paraId="21C77491">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0" w:type="auto"/>
            <w:tcBorders>
              <w:tl2br w:val="nil"/>
              <w:tr2bl w:val="nil"/>
            </w:tcBorders>
            <w:vAlign w:val="center"/>
          </w:tcPr>
          <w:p w14:paraId="1530E913">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64</w:t>
            </w:r>
          </w:p>
        </w:tc>
        <w:tc>
          <w:tcPr>
            <w:tcW w:w="0" w:type="auto"/>
            <w:tcBorders>
              <w:tl2br w:val="nil"/>
              <w:tr2bl w:val="nil"/>
            </w:tcBorders>
            <w:vAlign w:val="center"/>
          </w:tcPr>
          <w:p w14:paraId="6EE3102F">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64</w:t>
            </w:r>
          </w:p>
        </w:tc>
        <w:tc>
          <w:tcPr>
            <w:tcW w:w="0" w:type="auto"/>
            <w:tcBorders>
              <w:tl2br w:val="nil"/>
              <w:tr2bl w:val="nil"/>
            </w:tcBorders>
            <w:vAlign w:val="center"/>
          </w:tcPr>
          <w:p w14:paraId="70FDC340">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5E0CEB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1446B2EF">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w:t>
            </w:r>
          </w:p>
        </w:tc>
        <w:tc>
          <w:tcPr>
            <w:tcW w:w="1397" w:type="dxa"/>
            <w:tcBorders>
              <w:tl2br w:val="nil"/>
              <w:tr2bl w:val="nil"/>
            </w:tcBorders>
            <w:vAlign w:val="center"/>
          </w:tcPr>
          <w:p w14:paraId="7F6B6C86">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暗杆楔式闸阀</w:t>
            </w:r>
          </w:p>
        </w:tc>
        <w:tc>
          <w:tcPr>
            <w:tcW w:w="0" w:type="auto"/>
            <w:tcBorders>
              <w:tl2br w:val="nil"/>
              <w:tr2bl w:val="nil"/>
            </w:tcBorders>
            <w:vAlign w:val="center"/>
          </w:tcPr>
          <w:p w14:paraId="631713A6">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DN350</w:t>
            </w:r>
          </w:p>
        </w:tc>
        <w:tc>
          <w:tcPr>
            <w:tcW w:w="0" w:type="auto"/>
            <w:tcBorders>
              <w:tl2br w:val="nil"/>
              <w:tr2bl w:val="nil"/>
            </w:tcBorders>
            <w:vAlign w:val="center"/>
          </w:tcPr>
          <w:p w14:paraId="236213FE">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0" w:type="auto"/>
            <w:tcBorders>
              <w:tl2br w:val="nil"/>
              <w:tr2bl w:val="nil"/>
            </w:tcBorders>
            <w:vAlign w:val="center"/>
          </w:tcPr>
          <w:p w14:paraId="515BB221">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434627F8">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4E46477D">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414B7C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7E0DEAE9">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w:t>
            </w:r>
          </w:p>
        </w:tc>
        <w:tc>
          <w:tcPr>
            <w:tcW w:w="1397" w:type="dxa"/>
            <w:tcBorders>
              <w:tl2br w:val="nil"/>
              <w:tr2bl w:val="nil"/>
            </w:tcBorders>
            <w:vAlign w:val="center"/>
          </w:tcPr>
          <w:p w14:paraId="0903FE46">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暗杆楔式闸阀</w:t>
            </w:r>
          </w:p>
        </w:tc>
        <w:tc>
          <w:tcPr>
            <w:tcW w:w="0" w:type="auto"/>
            <w:tcBorders>
              <w:tl2br w:val="nil"/>
              <w:tr2bl w:val="nil"/>
            </w:tcBorders>
            <w:vAlign w:val="center"/>
          </w:tcPr>
          <w:p w14:paraId="2C2AE524">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DN200</w:t>
            </w:r>
          </w:p>
        </w:tc>
        <w:tc>
          <w:tcPr>
            <w:tcW w:w="0" w:type="auto"/>
            <w:tcBorders>
              <w:tl2br w:val="nil"/>
              <w:tr2bl w:val="nil"/>
            </w:tcBorders>
            <w:vAlign w:val="center"/>
          </w:tcPr>
          <w:p w14:paraId="1F55A9C6">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0" w:type="auto"/>
            <w:tcBorders>
              <w:tl2br w:val="nil"/>
              <w:tr2bl w:val="nil"/>
            </w:tcBorders>
            <w:vAlign w:val="center"/>
          </w:tcPr>
          <w:p w14:paraId="3FD05648">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w:t>
            </w:r>
          </w:p>
        </w:tc>
        <w:tc>
          <w:tcPr>
            <w:tcW w:w="0" w:type="auto"/>
            <w:tcBorders>
              <w:tl2br w:val="nil"/>
              <w:tr2bl w:val="nil"/>
            </w:tcBorders>
            <w:vAlign w:val="center"/>
          </w:tcPr>
          <w:p w14:paraId="545DB409">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w:t>
            </w:r>
          </w:p>
        </w:tc>
        <w:tc>
          <w:tcPr>
            <w:tcW w:w="0" w:type="auto"/>
            <w:tcBorders>
              <w:tl2br w:val="nil"/>
              <w:tr2bl w:val="nil"/>
            </w:tcBorders>
            <w:vAlign w:val="center"/>
          </w:tcPr>
          <w:p w14:paraId="1F9EA18F">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321DE7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4E66CFF9">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7</w:t>
            </w:r>
          </w:p>
        </w:tc>
        <w:tc>
          <w:tcPr>
            <w:tcW w:w="1397" w:type="dxa"/>
            <w:tcBorders>
              <w:tl2br w:val="nil"/>
              <w:tr2bl w:val="nil"/>
            </w:tcBorders>
            <w:vAlign w:val="center"/>
          </w:tcPr>
          <w:p w14:paraId="3D1695EE">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橡胶软接头</w:t>
            </w:r>
          </w:p>
        </w:tc>
        <w:tc>
          <w:tcPr>
            <w:tcW w:w="0" w:type="auto"/>
            <w:tcBorders>
              <w:tl2br w:val="nil"/>
              <w:tr2bl w:val="nil"/>
            </w:tcBorders>
            <w:vAlign w:val="center"/>
          </w:tcPr>
          <w:p w14:paraId="387B0CE8">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kern w:val="2"/>
                <w:sz w:val="21"/>
                <w:szCs w:val="21"/>
                <w:vertAlign w:val="baseline"/>
                <w:lang w:val="en-US" w:eastAsia="zh-CN" w:bidi="ar-SA"/>
              </w:rPr>
              <w:t>DN200, PN=0.6MPa</w:t>
            </w:r>
          </w:p>
        </w:tc>
        <w:tc>
          <w:tcPr>
            <w:tcW w:w="0" w:type="auto"/>
            <w:tcBorders>
              <w:tl2br w:val="nil"/>
              <w:tr2bl w:val="nil"/>
            </w:tcBorders>
            <w:vAlign w:val="center"/>
          </w:tcPr>
          <w:p w14:paraId="1EA5A5DB">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只</w:t>
            </w:r>
          </w:p>
        </w:tc>
        <w:tc>
          <w:tcPr>
            <w:tcW w:w="0" w:type="auto"/>
            <w:tcBorders>
              <w:tl2br w:val="nil"/>
              <w:tr2bl w:val="nil"/>
            </w:tcBorders>
            <w:vAlign w:val="center"/>
          </w:tcPr>
          <w:p w14:paraId="426C4BE3">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7</w:t>
            </w:r>
          </w:p>
        </w:tc>
        <w:tc>
          <w:tcPr>
            <w:tcW w:w="0" w:type="auto"/>
            <w:tcBorders>
              <w:tl2br w:val="nil"/>
              <w:tr2bl w:val="nil"/>
            </w:tcBorders>
            <w:vAlign w:val="center"/>
          </w:tcPr>
          <w:p w14:paraId="0913D656">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7</w:t>
            </w:r>
          </w:p>
        </w:tc>
        <w:tc>
          <w:tcPr>
            <w:tcW w:w="0" w:type="auto"/>
            <w:tcBorders>
              <w:tl2br w:val="nil"/>
              <w:tr2bl w:val="nil"/>
            </w:tcBorders>
            <w:vAlign w:val="center"/>
          </w:tcPr>
          <w:p w14:paraId="64771BAB">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3F8ADD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21016070">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w:t>
            </w:r>
          </w:p>
        </w:tc>
        <w:tc>
          <w:tcPr>
            <w:tcW w:w="1397" w:type="dxa"/>
            <w:tcBorders>
              <w:tl2br w:val="nil"/>
              <w:tr2bl w:val="nil"/>
            </w:tcBorders>
            <w:vAlign w:val="center"/>
          </w:tcPr>
          <w:p w14:paraId="7D4FAFC3">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橡胶软接头</w:t>
            </w:r>
          </w:p>
        </w:tc>
        <w:tc>
          <w:tcPr>
            <w:tcW w:w="0" w:type="auto"/>
            <w:tcBorders>
              <w:tl2br w:val="nil"/>
              <w:tr2bl w:val="nil"/>
            </w:tcBorders>
            <w:vAlign w:val="center"/>
          </w:tcPr>
          <w:p w14:paraId="1FF4EFD1">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kern w:val="2"/>
                <w:sz w:val="21"/>
                <w:szCs w:val="21"/>
                <w:vertAlign w:val="baseline"/>
                <w:lang w:val="en-US" w:eastAsia="zh-CN" w:bidi="ar-SA"/>
              </w:rPr>
              <w:t>DN350, PN=0.6MPa</w:t>
            </w:r>
          </w:p>
        </w:tc>
        <w:tc>
          <w:tcPr>
            <w:tcW w:w="0" w:type="auto"/>
            <w:tcBorders>
              <w:tl2br w:val="nil"/>
              <w:tr2bl w:val="nil"/>
            </w:tcBorders>
            <w:vAlign w:val="center"/>
          </w:tcPr>
          <w:p w14:paraId="12D13C3F">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只</w:t>
            </w:r>
          </w:p>
        </w:tc>
        <w:tc>
          <w:tcPr>
            <w:tcW w:w="0" w:type="auto"/>
            <w:tcBorders>
              <w:tl2br w:val="nil"/>
              <w:tr2bl w:val="nil"/>
            </w:tcBorders>
            <w:vAlign w:val="center"/>
          </w:tcPr>
          <w:p w14:paraId="2902A531">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68D9B09A">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265CF68E">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70A44E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04EEB31E">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t>三</w:t>
            </w:r>
          </w:p>
        </w:tc>
        <w:tc>
          <w:tcPr>
            <w:tcW w:w="7836" w:type="dxa"/>
            <w:gridSpan w:val="6"/>
            <w:tcBorders>
              <w:tl2br w:val="nil"/>
              <w:tr2bl w:val="nil"/>
            </w:tcBorders>
            <w:vAlign w:val="center"/>
          </w:tcPr>
          <w:p w14:paraId="17C2776A">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b/>
                <w:bCs/>
                <w:color w:val="000000"/>
                <w:kern w:val="0"/>
                <w:sz w:val="21"/>
                <w:szCs w:val="21"/>
                <w:lang w:val="en-US" w:eastAsia="zh-CN" w:bidi="ar"/>
              </w:rPr>
              <w:t>氧化沟及配水井</w:t>
            </w:r>
          </w:p>
        </w:tc>
      </w:tr>
      <w:tr w14:paraId="0C8BB3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58FC41F0">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397" w:type="dxa"/>
            <w:tcBorders>
              <w:tl2br w:val="nil"/>
              <w:tr2bl w:val="nil"/>
            </w:tcBorders>
            <w:vAlign w:val="center"/>
          </w:tcPr>
          <w:p w14:paraId="1A7A7578">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潜水搅拌器</w:t>
            </w:r>
          </w:p>
        </w:tc>
        <w:tc>
          <w:tcPr>
            <w:tcW w:w="0" w:type="auto"/>
            <w:tcBorders>
              <w:tl2br w:val="nil"/>
              <w:tr2bl w:val="nil"/>
            </w:tcBorders>
            <w:vAlign w:val="center"/>
          </w:tcPr>
          <w:p w14:paraId="4E55C889">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kern w:val="2"/>
                <w:sz w:val="21"/>
                <w:szCs w:val="21"/>
                <w:vertAlign w:val="baseline"/>
                <w:lang w:val="en-US" w:eastAsia="zh-CN" w:bidi="ar-SA"/>
              </w:rPr>
              <w:t>直径D=370mm，电机功率2.5kW</w:t>
            </w:r>
          </w:p>
        </w:tc>
        <w:tc>
          <w:tcPr>
            <w:tcW w:w="0" w:type="auto"/>
            <w:tcBorders>
              <w:tl2br w:val="nil"/>
              <w:tr2bl w:val="nil"/>
            </w:tcBorders>
            <w:vAlign w:val="center"/>
          </w:tcPr>
          <w:p w14:paraId="78891C8E">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0" w:type="auto"/>
            <w:tcBorders>
              <w:tl2br w:val="nil"/>
              <w:tr2bl w:val="nil"/>
            </w:tcBorders>
            <w:vAlign w:val="center"/>
          </w:tcPr>
          <w:p w14:paraId="451FC810">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0" w:type="auto"/>
            <w:tcBorders>
              <w:tl2br w:val="nil"/>
              <w:tr2bl w:val="nil"/>
            </w:tcBorders>
            <w:vAlign w:val="center"/>
          </w:tcPr>
          <w:p w14:paraId="35635933">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0" w:type="auto"/>
            <w:tcBorders>
              <w:tl2br w:val="nil"/>
              <w:tr2bl w:val="nil"/>
            </w:tcBorders>
            <w:vAlign w:val="center"/>
          </w:tcPr>
          <w:p w14:paraId="403CC44E">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1A51F1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7E707972">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397" w:type="dxa"/>
            <w:tcBorders>
              <w:tl2br w:val="nil"/>
              <w:tr2bl w:val="nil"/>
            </w:tcBorders>
            <w:vAlign w:val="center"/>
          </w:tcPr>
          <w:p w14:paraId="0359E540">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潜水推流器</w:t>
            </w:r>
          </w:p>
        </w:tc>
        <w:tc>
          <w:tcPr>
            <w:tcW w:w="0" w:type="auto"/>
            <w:tcBorders>
              <w:tl2br w:val="nil"/>
              <w:tr2bl w:val="nil"/>
            </w:tcBorders>
            <w:vAlign w:val="center"/>
          </w:tcPr>
          <w:p w14:paraId="4F7CB0EE">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kern w:val="2"/>
                <w:sz w:val="21"/>
                <w:szCs w:val="21"/>
                <w:vertAlign w:val="baseline"/>
                <w:lang w:val="en-US" w:eastAsia="zh-CN" w:bidi="ar-SA"/>
              </w:rPr>
              <w:t>直径D=2200mm，电机功率2.3kW</w:t>
            </w:r>
          </w:p>
        </w:tc>
        <w:tc>
          <w:tcPr>
            <w:tcW w:w="0" w:type="auto"/>
            <w:tcBorders>
              <w:tl2br w:val="nil"/>
              <w:tr2bl w:val="nil"/>
            </w:tcBorders>
            <w:vAlign w:val="center"/>
          </w:tcPr>
          <w:p w14:paraId="51C6CC55">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0" w:type="auto"/>
            <w:tcBorders>
              <w:tl2br w:val="nil"/>
              <w:tr2bl w:val="nil"/>
            </w:tcBorders>
            <w:vAlign w:val="center"/>
          </w:tcPr>
          <w:p w14:paraId="324B3BA4">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0" w:type="auto"/>
            <w:tcBorders>
              <w:tl2br w:val="nil"/>
              <w:tr2bl w:val="nil"/>
            </w:tcBorders>
            <w:vAlign w:val="center"/>
          </w:tcPr>
          <w:p w14:paraId="50FCAD1D">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0" w:type="auto"/>
            <w:tcBorders>
              <w:tl2br w:val="nil"/>
              <w:tr2bl w:val="nil"/>
            </w:tcBorders>
            <w:vAlign w:val="center"/>
          </w:tcPr>
          <w:p w14:paraId="57FB4EBC">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69BAD0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46D4F51F">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1397" w:type="dxa"/>
            <w:tcBorders>
              <w:tl2br w:val="nil"/>
              <w:tr2bl w:val="nil"/>
            </w:tcBorders>
            <w:vAlign w:val="center"/>
          </w:tcPr>
          <w:p w14:paraId="533538E5">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潜水推流器</w:t>
            </w:r>
          </w:p>
        </w:tc>
        <w:tc>
          <w:tcPr>
            <w:tcW w:w="0" w:type="auto"/>
            <w:tcBorders>
              <w:tl2br w:val="nil"/>
              <w:tr2bl w:val="nil"/>
            </w:tcBorders>
            <w:vAlign w:val="center"/>
          </w:tcPr>
          <w:p w14:paraId="25CB70F7">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kern w:val="2"/>
                <w:sz w:val="21"/>
                <w:szCs w:val="21"/>
                <w:vertAlign w:val="baseline"/>
                <w:lang w:val="en-US" w:eastAsia="zh-CN" w:bidi="ar-SA"/>
              </w:rPr>
              <w:t>直径D=2000mm，电机功率2.3kW</w:t>
            </w:r>
          </w:p>
        </w:tc>
        <w:tc>
          <w:tcPr>
            <w:tcW w:w="0" w:type="auto"/>
            <w:tcBorders>
              <w:tl2br w:val="nil"/>
              <w:tr2bl w:val="nil"/>
            </w:tcBorders>
            <w:vAlign w:val="center"/>
          </w:tcPr>
          <w:p w14:paraId="4EA6FDD3">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0" w:type="auto"/>
            <w:tcBorders>
              <w:tl2br w:val="nil"/>
              <w:tr2bl w:val="nil"/>
            </w:tcBorders>
            <w:vAlign w:val="center"/>
          </w:tcPr>
          <w:p w14:paraId="167D4D2D">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p>
        </w:tc>
        <w:tc>
          <w:tcPr>
            <w:tcW w:w="0" w:type="auto"/>
            <w:tcBorders>
              <w:tl2br w:val="nil"/>
              <w:tr2bl w:val="nil"/>
            </w:tcBorders>
            <w:vAlign w:val="center"/>
          </w:tcPr>
          <w:p w14:paraId="0D7A3293">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p>
        </w:tc>
        <w:tc>
          <w:tcPr>
            <w:tcW w:w="0" w:type="auto"/>
            <w:tcBorders>
              <w:tl2br w:val="nil"/>
              <w:tr2bl w:val="nil"/>
            </w:tcBorders>
            <w:vAlign w:val="center"/>
          </w:tcPr>
          <w:p w14:paraId="30E17390">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39AD55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1EA9CCC6">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p>
        </w:tc>
        <w:tc>
          <w:tcPr>
            <w:tcW w:w="1397" w:type="dxa"/>
            <w:tcBorders>
              <w:tl2br w:val="nil"/>
              <w:tr2bl w:val="nil"/>
            </w:tcBorders>
            <w:vAlign w:val="center"/>
          </w:tcPr>
          <w:p w14:paraId="66C315E2">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铸铁圆闸门</w:t>
            </w:r>
          </w:p>
        </w:tc>
        <w:tc>
          <w:tcPr>
            <w:tcW w:w="0" w:type="auto"/>
            <w:tcBorders>
              <w:tl2br w:val="nil"/>
              <w:tr2bl w:val="nil"/>
            </w:tcBorders>
            <w:vAlign w:val="center"/>
          </w:tcPr>
          <w:p w14:paraId="1BE99443">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kern w:val="2"/>
                <w:sz w:val="21"/>
                <w:szCs w:val="21"/>
                <w:vertAlign w:val="baseline"/>
                <w:lang w:val="en-US" w:eastAsia="zh-CN" w:bidi="ar-SA"/>
              </w:rPr>
              <w:t>DN450T=2t配启闭机功率1.1kW</w:t>
            </w:r>
          </w:p>
        </w:tc>
        <w:tc>
          <w:tcPr>
            <w:tcW w:w="0" w:type="auto"/>
            <w:tcBorders>
              <w:tl2br w:val="nil"/>
              <w:tr2bl w:val="nil"/>
            </w:tcBorders>
            <w:vAlign w:val="center"/>
          </w:tcPr>
          <w:p w14:paraId="4039ABED">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个</w:t>
            </w:r>
          </w:p>
        </w:tc>
        <w:tc>
          <w:tcPr>
            <w:tcW w:w="0" w:type="auto"/>
            <w:tcBorders>
              <w:tl2br w:val="nil"/>
              <w:tr2bl w:val="nil"/>
            </w:tcBorders>
            <w:vAlign w:val="center"/>
          </w:tcPr>
          <w:p w14:paraId="39E7581F">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5E458382">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3BF106F0">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42C658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6387E64A">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w:t>
            </w:r>
          </w:p>
        </w:tc>
        <w:tc>
          <w:tcPr>
            <w:tcW w:w="1397" w:type="dxa"/>
            <w:tcBorders>
              <w:tl2br w:val="nil"/>
              <w:tr2bl w:val="nil"/>
            </w:tcBorders>
            <w:vAlign w:val="center"/>
          </w:tcPr>
          <w:p w14:paraId="6575AC4B">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内回流控制门</w:t>
            </w:r>
          </w:p>
        </w:tc>
        <w:tc>
          <w:tcPr>
            <w:tcW w:w="0" w:type="auto"/>
            <w:tcBorders>
              <w:tl2br w:val="nil"/>
              <w:tr2bl w:val="nil"/>
            </w:tcBorders>
            <w:vAlign w:val="center"/>
          </w:tcPr>
          <w:p w14:paraId="5323429B">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LxB=1000x1000</w:t>
            </w:r>
          </w:p>
        </w:tc>
        <w:tc>
          <w:tcPr>
            <w:tcW w:w="0" w:type="auto"/>
            <w:tcBorders>
              <w:tl2br w:val="nil"/>
              <w:tr2bl w:val="nil"/>
            </w:tcBorders>
            <w:vAlign w:val="center"/>
          </w:tcPr>
          <w:p w14:paraId="5F5F8BFB">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个</w:t>
            </w:r>
          </w:p>
        </w:tc>
        <w:tc>
          <w:tcPr>
            <w:tcW w:w="0" w:type="auto"/>
            <w:tcBorders>
              <w:tl2br w:val="nil"/>
              <w:tr2bl w:val="nil"/>
            </w:tcBorders>
            <w:vAlign w:val="center"/>
          </w:tcPr>
          <w:p w14:paraId="0B8D24D1">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00AD831E">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39081A7F">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5524BD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6099952E">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w:t>
            </w:r>
          </w:p>
        </w:tc>
        <w:tc>
          <w:tcPr>
            <w:tcW w:w="1397" w:type="dxa"/>
            <w:tcBorders>
              <w:tl2br w:val="nil"/>
              <w:tr2bl w:val="nil"/>
            </w:tcBorders>
            <w:vAlign w:val="center"/>
          </w:tcPr>
          <w:p w14:paraId="5795A94C">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电动回转可调节堰门</w:t>
            </w:r>
          </w:p>
        </w:tc>
        <w:tc>
          <w:tcPr>
            <w:tcW w:w="0" w:type="auto"/>
            <w:tcBorders>
              <w:tl2br w:val="nil"/>
              <w:tr2bl w:val="nil"/>
            </w:tcBorders>
            <w:vAlign w:val="center"/>
          </w:tcPr>
          <w:p w14:paraId="66A5B9BC">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B=3000mm，H=0～500mm，功率0.55kW</w:t>
            </w:r>
          </w:p>
        </w:tc>
        <w:tc>
          <w:tcPr>
            <w:tcW w:w="0" w:type="auto"/>
            <w:tcBorders>
              <w:tl2br w:val="nil"/>
              <w:tr2bl w:val="nil"/>
            </w:tcBorders>
            <w:vAlign w:val="center"/>
          </w:tcPr>
          <w:p w14:paraId="73FFB49D">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座</w:t>
            </w:r>
          </w:p>
        </w:tc>
        <w:tc>
          <w:tcPr>
            <w:tcW w:w="0" w:type="auto"/>
            <w:tcBorders>
              <w:tl2br w:val="nil"/>
              <w:tr2bl w:val="nil"/>
            </w:tcBorders>
            <w:vAlign w:val="center"/>
          </w:tcPr>
          <w:p w14:paraId="7FEE9655">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7A60747B">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5683E87E">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329E6F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5F53AC2A">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7</w:t>
            </w:r>
          </w:p>
        </w:tc>
        <w:tc>
          <w:tcPr>
            <w:tcW w:w="1397" w:type="dxa"/>
            <w:tcBorders>
              <w:tl2br w:val="nil"/>
              <w:tr2bl w:val="nil"/>
            </w:tcBorders>
            <w:vAlign w:val="center"/>
          </w:tcPr>
          <w:p w14:paraId="52D373B5">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管式橡胶曝气器</w:t>
            </w:r>
          </w:p>
        </w:tc>
        <w:tc>
          <w:tcPr>
            <w:tcW w:w="0" w:type="auto"/>
            <w:tcBorders>
              <w:tl2br w:val="nil"/>
              <w:tr2bl w:val="nil"/>
            </w:tcBorders>
            <w:vAlign w:val="center"/>
          </w:tcPr>
          <w:p w14:paraId="77975267">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kern w:val="2"/>
                <w:sz w:val="21"/>
                <w:szCs w:val="21"/>
                <w:vertAlign w:val="baseline"/>
                <w:lang w:val="en-US" w:eastAsia="zh-CN" w:bidi="ar-SA"/>
              </w:rPr>
              <w:t>通气量7m</w:t>
            </w:r>
            <w:r>
              <w:rPr>
                <w:rFonts w:hint="eastAsia" w:ascii="宋体" w:hAnsi="宋体" w:eastAsia="宋体" w:cs="宋体"/>
                <w:kern w:val="2"/>
                <w:sz w:val="21"/>
                <w:szCs w:val="21"/>
                <w:vertAlign w:val="superscript"/>
                <w:lang w:val="en-US" w:eastAsia="zh-CN" w:bidi="ar-SA"/>
              </w:rPr>
              <w:t>3</w:t>
            </w:r>
            <w:r>
              <w:rPr>
                <w:rFonts w:hint="eastAsia" w:ascii="宋体" w:hAnsi="宋体" w:eastAsia="宋体" w:cs="宋体"/>
                <w:kern w:val="2"/>
                <w:sz w:val="21"/>
                <w:szCs w:val="21"/>
                <w:vertAlign w:val="baseline"/>
                <w:lang w:val="en-US" w:eastAsia="zh-CN" w:bidi="ar-SA"/>
              </w:rPr>
              <w:t>/h，长度1.0m</w:t>
            </w:r>
          </w:p>
        </w:tc>
        <w:tc>
          <w:tcPr>
            <w:tcW w:w="0" w:type="auto"/>
            <w:tcBorders>
              <w:tl2br w:val="nil"/>
              <w:tr2bl w:val="nil"/>
            </w:tcBorders>
            <w:vAlign w:val="center"/>
          </w:tcPr>
          <w:p w14:paraId="63A4B337">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个</w:t>
            </w:r>
          </w:p>
        </w:tc>
        <w:tc>
          <w:tcPr>
            <w:tcW w:w="0" w:type="auto"/>
            <w:tcBorders>
              <w:tl2br w:val="nil"/>
              <w:tr2bl w:val="nil"/>
            </w:tcBorders>
            <w:vAlign w:val="center"/>
          </w:tcPr>
          <w:p w14:paraId="1C4AA2CE">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528</w:t>
            </w:r>
          </w:p>
        </w:tc>
        <w:tc>
          <w:tcPr>
            <w:tcW w:w="0" w:type="auto"/>
            <w:tcBorders>
              <w:tl2br w:val="nil"/>
              <w:tr2bl w:val="nil"/>
            </w:tcBorders>
            <w:vAlign w:val="center"/>
          </w:tcPr>
          <w:p w14:paraId="27A360ED">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528</w:t>
            </w:r>
          </w:p>
        </w:tc>
        <w:tc>
          <w:tcPr>
            <w:tcW w:w="0" w:type="auto"/>
            <w:tcBorders>
              <w:tl2br w:val="nil"/>
              <w:tr2bl w:val="nil"/>
            </w:tcBorders>
            <w:vAlign w:val="center"/>
          </w:tcPr>
          <w:p w14:paraId="0B8EA04C">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0A1319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0158375D">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w:t>
            </w:r>
          </w:p>
        </w:tc>
        <w:tc>
          <w:tcPr>
            <w:tcW w:w="1397" w:type="dxa"/>
            <w:tcBorders>
              <w:tl2br w:val="nil"/>
              <w:tr2bl w:val="nil"/>
            </w:tcBorders>
            <w:vAlign w:val="center"/>
          </w:tcPr>
          <w:p w14:paraId="6B9138EB">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电动菱形阀</w:t>
            </w:r>
          </w:p>
        </w:tc>
        <w:tc>
          <w:tcPr>
            <w:tcW w:w="0" w:type="auto"/>
            <w:tcBorders>
              <w:tl2br w:val="nil"/>
              <w:tr2bl w:val="nil"/>
            </w:tcBorders>
            <w:vAlign w:val="center"/>
          </w:tcPr>
          <w:p w14:paraId="548B642A">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DN100，功率0.55kW</w:t>
            </w:r>
          </w:p>
        </w:tc>
        <w:tc>
          <w:tcPr>
            <w:tcW w:w="0" w:type="auto"/>
            <w:tcBorders>
              <w:tl2br w:val="nil"/>
              <w:tr2bl w:val="nil"/>
            </w:tcBorders>
            <w:vAlign w:val="center"/>
          </w:tcPr>
          <w:p w14:paraId="48D641B4">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个</w:t>
            </w:r>
          </w:p>
        </w:tc>
        <w:tc>
          <w:tcPr>
            <w:tcW w:w="0" w:type="auto"/>
            <w:tcBorders>
              <w:tl2br w:val="nil"/>
              <w:tr2bl w:val="nil"/>
            </w:tcBorders>
            <w:vAlign w:val="center"/>
          </w:tcPr>
          <w:p w14:paraId="2BEBFE18">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12</w:t>
            </w:r>
          </w:p>
        </w:tc>
        <w:tc>
          <w:tcPr>
            <w:tcW w:w="0" w:type="auto"/>
            <w:tcBorders>
              <w:tl2br w:val="nil"/>
              <w:tr2bl w:val="nil"/>
            </w:tcBorders>
            <w:vAlign w:val="center"/>
          </w:tcPr>
          <w:p w14:paraId="3A2469B6">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12</w:t>
            </w:r>
          </w:p>
        </w:tc>
        <w:tc>
          <w:tcPr>
            <w:tcW w:w="0" w:type="auto"/>
            <w:tcBorders>
              <w:tl2br w:val="nil"/>
              <w:tr2bl w:val="nil"/>
            </w:tcBorders>
            <w:vAlign w:val="center"/>
          </w:tcPr>
          <w:p w14:paraId="413D7F4E">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1CAA17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42A7924A">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9</w:t>
            </w:r>
          </w:p>
        </w:tc>
        <w:tc>
          <w:tcPr>
            <w:tcW w:w="1397" w:type="dxa"/>
            <w:tcBorders>
              <w:tl2br w:val="nil"/>
              <w:tr2bl w:val="nil"/>
            </w:tcBorders>
            <w:vAlign w:val="center"/>
          </w:tcPr>
          <w:p w14:paraId="5A5103E9">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电动菱形阀</w:t>
            </w:r>
          </w:p>
        </w:tc>
        <w:tc>
          <w:tcPr>
            <w:tcW w:w="0" w:type="auto"/>
            <w:tcBorders>
              <w:tl2br w:val="nil"/>
              <w:tr2bl w:val="nil"/>
            </w:tcBorders>
            <w:vAlign w:val="center"/>
          </w:tcPr>
          <w:p w14:paraId="381632CD">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DN250，功率0.75kW</w:t>
            </w:r>
          </w:p>
        </w:tc>
        <w:tc>
          <w:tcPr>
            <w:tcW w:w="0" w:type="auto"/>
            <w:tcBorders>
              <w:tl2br w:val="nil"/>
              <w:tr2bl w:val="nil"/>
            </w:tcBorders>
            <w:vAlign w:val="center"/>
          </w:tcPr>
          <w:p w14:paraId="7275967A">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个</w:t>
            </w:r>
          </w:p>
        </w:tc>
        <w:tc>
          <w:tcPr>
            <w:tcW w:w="0" w:type="auto"/>
            <w:tcBorders>
              <w:tl2br w:val="nil"/>
              <w:tr2bl w:val="nil"/>
            </w:tcBorders>
            <w:vAlign w:val="center"/>
          </w:tcPr>
          <w:p w14:paraId="69A6211E">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29F58D93">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6EAB73EB">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1FB7A5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5123ABEA">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w:t>
            </w:r>
          </w:p>
        </w:tc>
        <w:tc>
          <w:tcPr>
            <w:tcW w:w="1397" w:type="dxa"/>
            <w:tcBorders>
              <w:tl2br w:val="nil"/>
              <w:tr2bl w:val="nil"/>
            </w:tcBorders>
            <w:vAlign w:val="center"/>
          </w:tcPr>
          <w:p w14:paraId="48ED76EC">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手动球阀</w:t>
            </w:r>
          </w:p>
        </w:tc>
        <w:tc>
          <w:tcPr>
            <w:tcW w:w="0" w:type="auto"/>
            <w:tcBorders>
              <w:tl2br w:val="nil"/>
              <w:tr2bl w:val="nil"/>
            </w:tcBorders>
            <w:vAlign w:val="center"/>
          </w:tcPr>
          <w:p w14:paraId="7CC06D5E">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DN300</w:t>
            </w:r>
          </w:p>
        </w:tc>
        <w:tc>
          <w:tcPr>
            <w:tcW w:w="0" w:type="auto"/>
            <w:tcBorders>
              <w:tl2br w:val="nil"/>
              <w:tr2bl w:val="nil"/>
            </w:tcBorders>
            <w:vAlign w:val="center"/>
          </w:tcPr>
          <w:p w14:paraId="67F8E941">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个</w:t>
            </w:r>
          </w:p>
        </w:tc>
        <w:tc>
          <w:tcPr>
            <w:tcW w:w="0" w:type="auto"/>
            <w:tcBorders>
              <w:tl2br w:val="nil"/>
              <w:tr2bl w:val="nil"/>
            </w:tcBorders>
            <w:vAlign w:val="center"/>
          </w:tcPr>
          <w:p w14:paraId="71A4E025">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1E7DD6E4">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273455BE">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74465E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5CD8DD29">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11</w:t>
            </w:r>
          </w:p>
        </w:tc>
        <w:tc>
          <w:tcPr>
            <w:tcW w:w="1397" w:type="dxa"/>
            <w:tcBorders>
              <w:tl2br w:val="nil"/>
              <w:tr2bl w:val="nil"/>
            </w:tcBorders>
            <w:vAlign w:val="center"/>
          </w:tcPr>
          <w:p w14:paraId="6439FAE4">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双法兰限位伸缩接头</w:t>
            </w:r>
          </w:p>
        </w:tc>
        <w:tc>
          <w:tcPr>
            <w:tcW w:w="0" w:type="auto"/>
            <w:tcBorders>
              <w:tl2br w:val="nil"/>
              <w:tr2bl w:val="nil"/>
            </w:tcBorders>
            <w:vAlign w:val="center"/>
          </w:tcPr>
          <w:p w14:paraId="662E5F09">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DN100</w:t>
            </w:r>
          </w:p>
        </w:tc>
        <w:tc>
          <w:tcPr>
            <w:tcW w:w="0" w:type="auto"/>
            <w:tcBorders>
              <w:tl2br w:val="nil"/>
              <w:tr2bl w:val="nil"/>
            </w:tcBorders>
            <w:vAlign w:val="center"/>
          </w:tcPr>
          <w:p w14:paraId="0E413D58">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个</w:t>
            </w:r>
          </w:p>
        </w:tc>
        <w:tc>
          <w:tcPr>
            <w:tcW w:w="0" w:type="auto"/>
            <w:tcBorders>
              <w:tl2br w:val="nil"/>
              <w:tr2bl w:val="nil"/>
            </w:tcBorders>
            <w:vAlign w:val="center"/>
          </w:tcPr>
          <w:p w14:paraId="5E18E261">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12</w:t>
            </w:r>
          </w:p>
        </w:tc>
        <w:tc>
          <w:tcPr>
            <w:tcW w:w="0" w:type="auto"/>
            <w:tcBorders>
              <w:tl2br w:val="nil"/>
              <w:tr2bl w:val="nil"/>
            </w:tcBorders>
            <w:vAlign w:val="center"/>
          </w:tcPr>
          <w:p w14:paraId="2DBC18F7">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12</w:t>
            </w:r>
          </w:p>
        </w:tc>
        <w:tc>
          <w:tcPr>
            <w:tcW w:w="0" w:type="auto"/>
            <w:tcBorders>
              <w:tl2br w:val="nil"/>
              <w:tr2bl w:val="nil"/>
            </w:tcBorders>
            <w:vAlign w:val="center"/>
          </w:tcPr>
          <w:p w14:paraId="146FC7A8">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442C85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2FC8200E">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12</w:t>
            </w:r>
          </w:p>
        </w:tc>
        <w:tc>
          <w:tcPr>
            <w:tcW w:w="1397" w:type="dxa"/>
            <w:tcBorders>
              <w:tl2br w:val="nil"/>
              <w:tr2bl w:val="nil"/>
            </w:tcBorders>
            <w:vAlign w:val="center"/>
          </w:tcPr>
          <w:p w14:paraId="0F3661D7">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双法兰限位伸缩接头</w:t>
            </w:r>
          </w:p>
        </w:tc>
        <w:tc>
          <w:tcPr>
            <w:tcW w:w="0" w:type="auto"/>
            <w:tcBorders>
              <w:tl2br w:val="nil"/>
              <w:tr2bl w:val="nil"/>
            </w:tcBorders>
            <w:vAlign w:val="center"/>
          </w:tcPr>
          <w:p w14:paraId="7224A293">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DN250</w:t>
            </w:r>
          </w:p>
        </w:tc>
        <w:tc>
          <w:tcPr>
            <w:tcW w:w="0" w:type="auto"/>
            <w:tcBorders>
              <w:tl2br w:val="nil"/>
              <w:tr2bl w:val="nil"/>
            </w:tcBorders>
            <w:vAlign w:val="center"/>
          </w:tcPr>
          <w:p w14:paraId="2D4B4D1D">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个</w:t>
            </w:r>
          </w:p>
        </w:tc>
        <w:tc>
          <w:tcPr>
            <w:tcW w:w="0" w:type="auto"/>
            <w:tcBorders>
              <w:tl2br w:val="nil"/>
              <w:tr2bl w:val="nil"/>
            </w:tcBorders>
            <w:vAlign w:val="center"/>
          </w:tcPr>
          <w:p w14:paraId="6C606D37">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65E9994E">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2756D131">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58A1D8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5AB6D3C9">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13</w:t>
            </w:r>
          </w:p>
        </w:tc>
        <w:tc>
          <w:tcPr>
            <w:tcW w:w="1397" w:type="dxa"/>
            <w:tcBorders>
              <w:tl2br w:val="nil"/>
              <w:tr2bl w:val="nil"/>
            </w:tcBorders>
            <w:vAlign w:val="center"/>
          </w:tcPr>
          <w:p w14:paraId="5679BEEA">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双法兰限位伸缩接头</w:t>
            </w:r>
          </w:p>
        </w:tc>
        <w:tc>
          <w:tcPr>
            <w:tcW w:w="0" w:type="auto"/>
            <w:tcBorders>
              <w:tl2br w:val="nil"/>
              <w:tr2bl w:val="nil"/>
            </w:tcBorders>
            <w:vAlign w:val="center"/>
          </w:tcPr>
          <w:p w14:paraId="284B2AE1">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DN300</w:t>
            </w:r>
          </w:p>
        </w:tc>
        <w:tc>
          <w:tcPr>
            <w:tcW w:w="0" w:type="auto"/>
            <w:tcBorders>
              <w:tl2br w:val="nil"/>
              <w:tr2bl w:val="nil"/>
            </w:tcBorders>
            <w:shd w:val="clear" w:color="auto" w:fill="auto"/>
            <w:vAlign w:val="center"/>
          </w:tcPr>
          <w:p w14:paraId="31A62C4C">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个</w:t>
            </w:r>
          </w:p>
        </w:tc>
        <w:tc>
          <w:tcPr>
            <w:tcW w:w="0" w:type="auto"/>
            <w:tcBorders>
              <w:tl2br w:val="nil"/>
              <w:tr2bl w:val="nil"/>
            </w:tcBorders>
            <w:shd w:val="clear" w:color="auto" w:fill="auto"/>
            <w:vAlign w:val="center"/>
          </w:tcPr>
          <w:p w14:paraId="3A4F5394">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1</w:t>
            </w:r>
          </w:p>
        </w:tc>
        <w:tc>
          <w:tcPr>
            <w:tcW w:w="0" w:type="auto"/>
            <w:tcBorders>
              <w:tl2br w:val="nil"/>
              <w:tr2bl w:val="nil"/>
            </w:tcBorders>
            <w:shd w:val="clear" w:color="auto" w:fill="auto"/>
            <w:vAlign w:val="center"/>
          </w:tcPr>
          <w:p w14:paraId="01D05D6E">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31E1286C">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502DB9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13C52692">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14</w:t>
            </w:r>
          </w:p>
        </w:tc>
        <w:tc>
          <w:tcPr>
            <w:tcW w:w="1397" w:type="dxa"/>
            <w:tcBorders>
              <w:tl2br w:val="nil"/>
              <w:tr2bl w:val="nil"/>
            </w:tcBorders>
            <w:vAlign w:val="center"/>
          </w:tcPr>
          <w:p w14:paraId="0F03AA25">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空气流量计</w:t>
            </w:r>
          </w:p>
        </w:tc>
        <w:tc>
          <w:tcPr>
            <w:tcW w:w="0" w:type="auto"/>
            <w:tcBorders>
              <w:tl2br w:val="nil"/>
              <w:tr2bl w:val="nil"/>
            </w:tcBorders>
            <w:vAlign w:val="center"/>
          </w:tcPr>
          <w:p w14:paraId="77E88417">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DN250</w:t>
            </w:r>
          </w:p>
        </w:tc>
        <w:tc>
          <w:tcPr>
            <w:tcW w:w="0" w:type="auto"/>
            <w:tcBorders>
              <w:tl2br w:val="nil"/>
              <w:tr2bl w:val="nil"/>
            </w:tcBorders>
            <w:vAlign w:val="center"/>
          </w:tcPr>
          <w:p w14:paraId="66A10C03">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个</w:t>
            </w:r>
          </w:p>
        </w:tc>
        <w:tc>
          <w:tcPr>
            <w:tcW w:w="0" w:type="auto"/>
            <w:tcBorders>
              <w:tl2br w:val="nil"/>
              <w:tr2bl w:val="nil"/>
            </w:tcBorders>
            <w:vAlign w:val="center"/>
          </w:tcPr>
          <w:p w14:paraId="6A80F925">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0" w:type="auto"/>
            <w:tcBorders>
              <w:tl2br w:val="nil"/>
              <w:tr2bl w:val="nil"/>
            </w:tcBorders>
            <w:vAlign w:val="center"/>
          </w:tcPr>
          <w:p w14:paraId="40F841D8">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0" w:type="auto"/>
            <w:tcBorders>
              <w:tl2br w:val="nil"/>
              <w:tr2bl w:val="nil"/>
            </w:tcBorders>
            <w:vAlign w:val="center"/>
          </w:tcPr>
          <w:p w14:paraId="2E608638">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2462B8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0AF98319">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15</w:t>
            </w:r>
          </w:p>
        </w:tc>
        <w:tc>
          <w:tcPr>
            <w:tcW w:w="1397" w:type="dxa"/>
            <w:tcBorders>
              <w:tl2br w:val="nil"/>
              <w:tr2bl w:val="nil"/>
            </w:tcBorders>
            <w:vAlign w:val="center"/>
          </w:tcPr>
          <w:p w14:paraId="38F62763">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波纹补偿器</w:t>
            </w:r>
          </w:p>
        </w:tc>
        <w:tc>
          <w:tcPr>
            <w:tcW w:w="0" w:type="auto"/>
            <w:tcBorders>
              <w:tl2br w:val="nil"/>
              <w:tr2bl w:val="nil"/>
            </w:tcBorders>
            <w:vAlign w:val="center"/>
          </w:tcPr>
          <w:p w14:paraId="04545A45">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DN250</w:t>
            </w:r>
          </w:p>
        </w:tc>
        <w:tc>
          <w:tcPr>
            <w:tcW w:w="0" w:type="auto"/>
            <w:tcBorders>
              <w:tl2br w:val="nil"/>
              <w:tr2bl w:val="nil"/>
            </w:tcBorders>
            <w:shd w:val="clear" w:color="auto" w:fill="auto"/>
            <w:vAlign w:val="center"/>
          </w:tcPr>
          <w:p w14:paraId="7293782E">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个</w:t>
            </w:r>
          </w:p>
        </w:tc>
        <w:tc>
          <w:tcPr>
            <w:tcW w:w="0" w:type="auto"/>
            <w:tcBorders>
              <w:tl2br w:val="nil"/>
              <w:tr2bl w:val="nil"/>
            </w:tcBorders>
            <w:shd w:val="clear" w:color="auto" w:fill="auto"/>
            <w:vAlign w:val="center"/>
          </w:tcPr>
          <w:p w14:paraId="495F1B91">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2</w:t>
            </w:r>
          </w:p>
        </w:tc>
        <w:tc>
          <w:tcPr>
            <w:tcW w:w="0" w:type="auto"/>
            <w:tcBorders>
              <w:tl2br w:val="nil"/>
              <w:tr2bl w:val="nil"/>
            </w:tcBorders>
            <w:shd w:val="clear" w:color="auto" w:fill="auto"/>
            <w:vAlign w:val="center"/>
          </w:tcPr>
          <w:p w14:paraId="227F6AC1">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2</w:t>
            </w:r>
          </w:p>
        </w:tc>
        <w:tc>
          <w:tcPr>
            <w:tcW w:w="0" w:type="auto"/>
            <w:tcBorders>
              <w:tl2br w:val="nil"/>
              <w:tr2bl w:val="nil"/>
            </w:tcBorders>
            <w:vAlign w:val="center"/>
          </w:tcPr>
          <w:p w14:paraId="421E2DAE">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59CA89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0D65D14D">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t>四</w:t>
            </w:r>
          </w:p>
        </w:tc>
        <w:tc>
          <w:tcPr>
            <w:tcW w:w="7836" w:type="dxa"/>
            <w:gridSpan w:val="6"/>
            <w:tcBorders>
              <w:tl2br w:val="nil"/>
              <w:tr2bl w:val="nil"/>
            </w:tcBorders>
            <w:vAlign w:val="center"/>
          </w:tcPr>
          <w:p w14:paraId="562E82FB">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b/>
                <w:bCs/>
                <w:color w:val="000000"/>
                <w:kern w:val="0"/>
                <w:sz w:val="21"/>
                <w:szCs w:val="21"/>
                <w:lang w:val="en-US" w:eastAsia="zh-CN" w:bidi="ar"/>
              </w:rPr>
              <w:t>二沉池配水井及污泥泵房</w:t>
            </w:r>
          </w:p>
        </w:tc>
      </w:tr>
      <w:tr w14:paraId="203A09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525EF0E8">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397" w:type="dxa"/>
            <w:tcBorders>
              <w:tl2br w:val="nil"/>
              <w:tr2bl w:val="nil"/>
            </w:tcBorders>
            <w:vAlign w:val="center"/>
          </w:tcPr>
          <w:p w14:paraId="6EADF5BA">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手动套筒阀</w:t>
            </w:r>
          </w:p>
        </w:tc>
        <w:tc>
          <w:tcPr>
            <w:tcW w:w="0" w:type="auto"/>
            <w:tcBorders>
              <w:tl2br w:val="nil"/>
              <w:tr2bl w:val="nil"/>
            </w:tcBorders>
            <w:vAlign w:val="center"/>
          </w:tcPr>
          <w:p w14:paraId="277A9B6E">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DN300</w:t>
            </w:r>
          </w:p>
        </w:tc>
        <w:tc>
          <w:tcPr>
            <w:tcW w:w="0" w:type="auto"/>
            <w:tcBorders>
              <w:tl2br w:val="nil"/>
              <w:tr2bl w:val="nil"/>
            </w:tcBorders>
            <w:vAlign w:val="center"/>
          </w:tcPr>
          <w:p w14:paraId="1EFEDCED">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0" w:type="auto"/>
            <w:tcBorders>
              <w:tl2br w:val="nil"/>
              <w:tr2bl w:val="nil"/>
            </w:tcBorders>
            <w:vAlign w:val="center"/>
          </w:tcPr>
          <w:p w14:paraId="68C05C38">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12173963">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43A0C723">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6C60DC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7BCCE80C">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397" w:type="dxa"/>
            <w:tcBorders>
              <w:tl2br w:val="nil"/>
              <w:tr2bl w:val="nil"/>
            </w:tcBorders>
            <w:vAlign w:val="center"/>
          </w:tcPr>
          <w:p w14:paraId="5231DB46">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电动铸铁镶铜闸门</w:t>
            </w:r>
          </w:p>
        </w:tc>
        <w:tc>
          <w:tcPr>
            <w:tcW w:w="0" w:type="auto"/>
            <w:tcBorders>
              <w:tl2br w:val="nil"/>
              <w:tr2bl w:val="nil"/>
            </w:tcBorders>
            <w:vAlign w:val="center"/>
          </w:tcPr>
          <w:p w14:paraId="47CFF05B">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∅450P=1.1kW</w:t>
            </w:r>
          </w:p>
        </w:tc>
        <w:tc>
          <w:tcPr>
            <w:tcW w:w="0" w:type="auto"/>
            <w:tcBorders>
              <w:tl2br w:val="nil"/>
              <w:tr2bl w:val="nil"/>
            </w:tcBorders>
            <w:vAlign w:val="center"/>
          </w:tcPr>
          <w:p w14:paraId="0D9047D8">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0" w:type="auto"/>
            <w:tcBorders>
              <w:tl2br w:val="nil"/>
              <w:tr2bl w:val="nil"/>
            </w:tcBorders>
            <w:vAlign w:val="center"/>
          </w:tcPr>
          <w:p w14:paraId="2945CF56">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25170C7B">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4275A95B">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4FF5ED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4E1FCAD6">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1397" w:type="dxa"/>
            <w:tcBorders>
              <w:tl2br w:val="nil"/>
              <w:tr2bl w:val="nil"/>
            </w:tcBorders>
            <w:vAlign w:val="center"/>
          </w:tcPr>
          <w:p w14:paraId="2204311A">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电动调节堰门</w:t>
            </w:r>
          </w:p>
        </w:tc>
        <w:tc>
          <w:tcPr>
            <w:tcW w:w="0" w:type="auto"/>
            <w:tcBorders>
              <w:tl2br w:val="nil"/>
              <w:tr2bl w:val="nil"/>
            </w:tcBorders>
            <w:vAlign w:val="center"/>
          </w:tcPr>
          <w:p w14:paraId="1A5E3506">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BxH=1500x500P=1.1kW</w:t>
            </w:r>
          </w:p>
        </w:tc>
        <w:tc>
          <w:tcPr>
            <w:tcW w:w="0" w:type="auto"/>
            <w:tcBorders>
              <w:tl2br w:val="nil"/>
              <w:tr2bl w:val="nil"/>
            </w:tcBorders>
            <w:vAlign w:val="center"/>
          </w:tcPr>
          <w:p w14:paraId="137A9A1D">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0" w:type="auto"/>
            <w:tcBorders>
              <w:tl2br w:val="nil"/>
              <w:tr2bl w:val="nil"/>
            </w:tcBorders>
            <w:vAlign w:val="center"/>
          </w:tcPr>
          <w:p w14:paraId="1B41372D">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4719D348">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6C3B924E">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3EA26C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751D7CCD">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p>
        </w:tc>
        <w:tc>
          <w:tcPr>
            <w:tcW w:w="1397" w:type="dxa"/>
            <w:tcBorders>
              <w:tl2br w:val="nil"/>
              <w:tr2bl w:val="nil"/>
            </w:tcBorders>
            <w:vAlign w:val="center"/>
          </w:tcPr>
          <w:p w14:paraId="4DE1C936">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回流污泥泵</w:t>
            </w:r>
          </w:p>
        </w:tc>
        <w:tc>
          <w:tcPr>
            <w:tcW w:w="0" w:type="auto"/>
            <w:tcBorders>
              <w:tl2br w:val="nil"/>
              <w:tr2bl w:val="nil"/>
            </w:tcBorders>
            <w:vAlign w:val="center"/>
          </w:tcPr>
          <w:p w14:paraId="04E99C5E">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Q=208.3m</w:t>
            </w:r>
            <w:r>
              <w:rPr>
                <w:rFonts w:hint="eastAsia" w:ascii="宋体" w:hAnsi="宋体" w:eastAsia="宋体" w:cs="宋体"/>
                <w:color w:val="000000"/>
                <w:kern w:val="0"/>
                <w:sz w:val="21"/>
                <w:szCs w:val="21"/>
                <w:vertAlign w:val="superscript"/>
                <w:lang w:val="en-US" w:eastAsia="zh-CN" w:bidi="ar"/>
              </w:rPr>
              <w:t>3</w:t>
            </w:r>
            <w:r>
              <w:rPr>
                <w:rFonts w:hint="eastAsia" w:ascii="宋体" w:hAnsi="宋体" w:eastAsia="宋体" w:cs="宋体"/>
                <w:color w:val="000000"/>
                <w:kern w:val="0"/>
                <w:sz w:val="21"/>
                <w:szCs w:val="21"/>
                <w:lang w:val="en-US" w:eastAsia="zh-CN" w:bidi="ar"/>
              </w:rPr>
              <w:t>/h,P=5.5kW,H=7m</w:t>
            </w:r>
          </w:p>
        </w:tc>
        <w:tc>
          <w:tcPr>
            <w:tcW w:w="0" w:type="auto"/>
            <w:tcBorders>
              <w:tl2br w:val="nil"/>
              <w:tr2bl w:val="nil"/>
            </w:tcBorders>
            <w:vAlign w:val="center"/>
          </w:tcPr>
          <w:p w14:paraId="37086E01">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0" w:type="auto"/>
            <w:tcBorders>
              <w:tl2br w:val="nil"/>
              <w:tr2bl w:val="nil"/>
            </w:tcBorders>
            <w:vAlign w:val="center"/>
          </w:tcPr>
          <w:p w14:paraId="533AA221">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3E6EC826">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209BDBB9">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1626BF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23DF1B17">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w:t>
            </w:r>
          </w:p>
        </w:tc>
        <w:tc>
          <w:tcPr>
            <w:tcW w:w="1397" w:type="dxa"/>
            <w:tcBorders>
              <w:tl2br w:val="nil"/>
              <w:tr2bl w:val="nil"/>
            </w:tcBorders>
            <w:vAlign w:val="center"/>
          </w:tcPr>
          <w:p w14:paraId="54D6C614">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电动球阀</w:t>
            </w:r>
          </w:p>
        </w:tc>
        <w:tc>
          <w:tcPr>
            <w:tcW w:w="0" w:type="auto"/>
            <w:tcBorders>
              <w:tl2br w:val="nil"/>
              <w:tr2bl w:val="nil"/>
            </w:tcBorders>
            <w:vAlign w:val="center"/>
          </w:tcPr>
          <w:p w14:paraId="663F99ED">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DN250</w:t>
            </w:r>
          </w:p>
        </w:tc>
        <w:tc>
          <w:tcPr>
            <w:tcW w:w="0" w:type="auto"/>
            <w:tcBorders>
              <w:tl2br w:val="nil"/>
              <w:tr2bl w:val="nil"/>
            </w:tcBorders>
            <w:vAlign w:val="center"/>
          </w:tcPr>
          <w:p w14:paraId="415F9BC8">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0" w:type="auto"/>
            <w:tcBorders>
              <w:tl2br w:val="nil"/>
              <w:tr2bl w:val="nil"/>
            </w:tcBorders>
            <w:vAlign w:val="center"/>
          </w:tcPr>
          <w:p w14:paraId="688C851A">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06D666B2">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3F6644D5">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38C91F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5828C5F8">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w:t>
            </w:r>
          </w:p>
        </w:tc>
        <w:tc>
          <w:tcPr>
            <w:tcW w:w="1397" w:type="dxa"/>
            <w:tcBorders>
              <w:tl2br w:val="nil"/>
              <w:tr2bl w:val="nil"/>
            </w:tcBorders>
            <w:vAlign w:val="center"/>
          </w:tcPr>
          <w:p w14:paraId="7DDDD5B5">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止回阀</w:t>
            </w:r>
          </w:p>
        </w:tc>
        <w:tc>
          <w:tcPr>
            <w:tcW w:w="0" w:type="auto"/>
            <w:tcBorders>
              <w:tl2br w:val="nil"/>
              <w:tr2bl w:val="nil"/>
            </w:tcBorders>
            <w:vAlign w:val="center"/>
          </w:tcPr>
          <w:p w14:paraId="40A0C566">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DN250</w:t>
            </w:r>
          </w:p>
        </w:tc>
        <w:tc>
          <w:tcPr>
            <w:tcW w:w="0" w:type="auto"/>
            <w:tcBorders>
              <w:tl2br w:val="nil"/>
              <w:tr2bl w:val="nil"/>
            </w:tcBorders>
            <w:vAlign w:val="center"/>
          </w:tcPr>
          <w:p w14:paraId="1DD87632">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0" w:type="auto"/>
            <w:tcBorders>
              <w:tl2br w:val="nil"/>
              <w:tr2bl w:val="nil"/>
            </w:tcBorders>
            <w:vAlign w:val="center"/>
          </w:tcPr>
          <w:p w14:paraId="2AF36AF7">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57D94E2A">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6C0CF6DD">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0C4C69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09244B45">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7</w:t>
            </w:r>
          </w:p>
        </w:tc>
        <w:tc>
          <w:tcPr>
            <w:tcW w:w="1397" w:type="dxa"/>
            <w:tcBorders>
              <w:tl2br w:val="nil"/>
              <w:tr2bl w:val="nil"/>
            </w:tcBorders>
            <w:vAlign w:val="center"/>
          </w:tcPr>
          <w:p w14:paraId="19F324B7">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伸缩节</w:t>
            </w:r>
          </w:p>
        </w:tc>
        <w:tc>
          <w:tcPr>
            <w:tcW w:w="0" w:type="auto"/>
            <w:tcBorders>
              <w:tl2br w:val="nil"/>
              <w:tr2bl w:val="nil"/>
            </w:tcBorders>
            <w:vAlign w:val="center"/>
          </w:tcPr>
          <w:p w14:paraId="7053E87F">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DN250</w:t>
            </w:r>
          </w:p>
        </w:tc>
        <w:tc>
          <w:tcPr>
            <w:tcW w:w="0" w:type="auto"/>
            <w:tcBorders>
              <w:tl2br w:val="nil"/>
              <w:tr2bl w:val="nil"/>
            </w:tcBorders>
            <w:shd w:val="clear" w:color="auto" w:fill="auto"/>
            <w:vAlign w:val="center"/>
          </w:tcPr>
          <w:p w14:paraId="08ABD762">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台</w:t>
            </w:r>
          </w:p>
        </w:tc>
        <w:tc>
          <w:tcPr>
            <w:tcW w:w="0" w:type="auto"/>
            <w:tcBorders>
              <w:tl2br w:val="nil"/>
              <w:tr2bl w:val="nil"/>
            </w:tcBorders>
            <w:shd w:val="clear" w:color="auto" w:fill="auto"/>
            <w:vAlign w:val="center"/>
          </w:tcPr>
          <w:p w14:paraId="0242930A">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1</w:t>
            </w:r>
          </w:p>
        </w:tc>
        <w:tc>
          <w:tcPr>
            <w:tcW w:w="0" w:type="auto"/>
            <w:tcBorders>
              <w:tl2br w:val="nil"/>
              <w:tr2bl w:val="nil"/>
            </w:tcBorders>
            <w:shd w:val="clear" w:color="auto" w:fill="auto"/>
            <w:vAlign w:val="center"/>
          </w:tcPr>
          <w:p w14:paraId="78286447">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1A454356">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64B1E0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033854C5">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五</w:t>
            </w:r>
          </w:p>
        </w:tc>
        <w:tc>
          <w:tcPr>
            <w:tcW w:w="7836" w:type="dxa"/>
            <w:gridSpan w:val="6"/>
            <w:tcBorders>
              <w:tl2br w:val="nil"/>
              <w:tr2bl w:val="nil"/>
            </w:tcBorders>
            <w:vAlign w:val="center"/>
          </w:tcPr>
          <w:p w14:paraId="5F093A22">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b/>
                <w:bCs/>
                <w:color w:val="000000"/>
                <w:kern w:val="0"/>
                <w:sz w:val="21"/>
                <w:szCs w:val="21"/>
                <w:lang w:val="en-US" w:eastAsia="zh-CN" w:bidi="ar"/>
              </w:rPr>
              <w:t>二沉池</w:t>
            </w:r>
          </w:p>
        </w:tc>
      </w:tr>
      <w:tr w14:paraId="0DB815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shd w:val="clear" w:color="auto" w:fill="auto"/>
            <w:vAlign w:val="center"/>
          </w:tcPr>
          <w:p w14:paraId="7DBC59B8">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1</w:t>
            </w:r>
          </w:p>
        </w:tc>
        <w:tc>
          <w:tcPr>
            <w:tcW w:w="1397" w:type="dxa"/>
            <w:tcBorders>
              <w:tl2br w:val="nil"/>
              <w:tr2bl w:val="nil"/>
            </w:tcBorders>
            <w:vAlign w:val="center"/>
          </w:tcPr>
          <w:p w14:paraId="68247FDE">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pacing w:val="8"/>
                <w:sz w:val="21"/>
                <w:szCs w:val="21"/>
              </w:rPr>
              <w:t>全桥周边传动</w:t>
            </w:r>
            <w:r>
              <w:rPr>
                <w:rFonts w:hint="eastAsia" w:ascii="宋体" w:hAnsi="宋体" w:eastAsia="宋体" w:cs="宋体"/>
                <w:spacing w:val="6"/>
                <w:sz w:val="21"/>
                <w:szCs w:val="21"/>
              </w:rPr>
              <w:t>刮泥机</w:t>
            </w:r>
          </w:p>
        </w:tc>
        <w:tc>
          <w:tcPr>
            <w:tcW w:w="0" w:type="auto"/>
            <w:tcBorders>
              <w:tl2br w:val="nil"/>
              <w:tr2bl w:val="nil"/>
            </w:tcBorders>
            <w:vAlign w:val="center"/>
          </w:tcPr>
          <w:p w14:paraId="3A305766">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pacing w:val="-1"/>
                <w:position w:val="2"/>
                <w:sz w:val="21"/>
                <w:szCs w:val="21"/>
              </w:rPr>
              <w:t>D=26m</w:t>
            </w:r>
            <w:r>
              <w:rPr>
                <w:rFonts w:hint="eastAsia" w:ascii="宋体" w:hAnsi="宋体" w:eastAsia="宋体" w:cs="宋体"/>
                <w:spacing w:val="-1"/>
                <w:position w:val="2"/>
                <w:sz w:val="21"/>
                <w:szCs w:val="21"/>
                <w:lang w:eastAsia="zh-CN"/>
              </w:rPr>
              <w:t>,</w:t>
            </w:r>
            <w:r>
              <w:rPr>
                <w:rFonts w:hint="eastAsia" w:ascii="宋体" w:hAnsi="宋体" w:eastAsia="宋体" w:cs="宋体"/>
                <w:spacing w:val="-1"/>
                <w:position w:val="2"/>
                <w:sz w:val="21"/>
                <w:szCs w:val="21"/>
              </w:rPr>
              <w:t>P=0.74</w:t>
            </w:r>
            <w:r>
              <w:rPr>
                <w:rFonts w:hint="eastAsia" w:ascii="宋体" w:hAnsi="宋体" w:eastAsia="宋体" w:cs="宋体"/>
                <w:spacing w:val="-1"/>
                <w:position w:val="2"/>
                <w:sz w:val="21"/>
                <w:szCs w:val="21"/>
                <w:lang w:eastAsia="zh-CN"/>
              </w:rPr>
              <w:t>kW</w:t>
            </w:r>
          </w:p>
        </w:tc>
        <w:tc>
          <w:tcPr>
            <w:tcW w:w="0" w:type="auto"/>
            <w:tcBorders>
              <w:tl2br w:val="nil"/>
              <w:tr2bl w:val="nil"/>
            </w:tcBorders>
            <w:vAlign w:val="center"/>
          </w:tcPr>
          <w:p w14:paraId="7ED387F2">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套</w:t>
            </w:r>
          </w:p>
        </w:tc>
        <w:tc>
          <w:tcPr>
            <w:tcW w:w="0" w:type="auto"/>
            <w:tcBorders>
              <w:tl2br w:val="nil"/>
              <w:tr2bl w:val="nil"/>
            </w:tcBorders>
            <w:vAlign w:val="center"/>
          </w:tcPr>
          <w:p w14:paraId="4071E9B5">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7B7298CA">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2DB79938">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5684BE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shd w:val="clear" w:color="auto" w:fill="auto"/>
            <w:vAlign w:val="center"/>
          </w:tcPr>
          <w:p w14:paraId="6F1986AA">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2</w:t>
            </w:r>
          </w:p>
        </w:tc>
        <w:tc>
          <w:tcPr>
            <w:tcW w:w="1397" w:type="dxa"/>
            <w:tcBorders>
              <w:tl2br w:val="nil"/>
              <w:tr2bl w:val="nil"/>
            </w:tcBorders>
            <w:shd w:val="clear" w:color="auto" w:fill="auto"/>
            <w:vAlign w:val="center"/>
          </w:tcPr>
          <w:p w14:paraId="429244BC">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8"/>
                <w:sz w:val="21"/>
                <w:szCs w:val="21"/>
              </w:rPr>
              <w:t>进水导流筒</w:t>
            </w:r>
          </w:p>
        </w:tc>
        <w:tc>
          <w:tcPr>
            <w:tcW w:w="0" w:type="auto"/>
            <w:tcBorders>
              <w:tl2br w:val="nil"/>
              <w:tr2bl w:val="nil"/>
            </w:tcBorders>
            <w:shd w:val="clear" w:color="auto" w:fill="auto"/>
            <w:vAlign w:val="center"/>
          </w:tcPr>
          <w:p w14:paraId="0C86A929">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7"/>
                <w:sz w:val="21"/>
                <w:szCs w:val="21"/>
              </w:rPr>
              <w:t>直径1400</w:t>
            </w:r>
            <w:r>
              <w:rPr>
                <w:rFonts w:hint="eastAsia" w:ascii="宋体" w:hAnsi="宋体" w:eastAsia="宋体" w:cs="宋体"/>
                <w:sz w:val="21"/>
                <w:szCs w:val="21"/>
              </w:rPr>
              <w:t>mm</w:t>
            </w:r>
          </w:p>
        </w:tc>
        <w:tc>
          <w:tcPr>
            <w:tcW w:w="0" w:type="auto"/>
            <w:tcBorders>
              <w:tl2br w:val="nil"/>
              <w:tr2bl w:val="nil"/>
            </w:tcBorders>
            <w:shd w:val="clear" w:color="auto" w:fill="auto"/>
            <w:vAlign w:val="center"/>
          </w:tcPr>
          <w:p w14:paraId="630C168C">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个</w:t>
            </w:r>
          </w:p>
        </w:tc>
        <w:tc>
          <w:tcPr>
            <w:tcW w:w="0" w:type="auto"/>
            <w:tcBorders>
              <w:tl2br w:val="nil"/>
              <w:tr2bl w:val="nil"/>
            </w:tcBorders>
            <w:shd w:val="clear" w:color="auto" w:fill="auto"/>
            <w:vAlign w:val="center"/>
          </w:tcPr>
          <w:p w14:paraId="64160E0D">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1</w:t>
            </w:r>
          </w:p>
        </w:tc>
        <w:tc>
          <w:tcPr>
            <w:tcW w:w="0" w:type="auto"/>
            <w:tcBorders>
              <w:tl2br w:val="nil"/>
              <w:tr2bl w:val="nil"/>
            </w:tcBorders>
            <w:shd w:val="clear" w:color="auto" w:fill="auto"/>
            <w:vAlign w:val="center"/>
          </w:tcPr>
          <w:p w14:paraId="5200C6EE">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55DEF4AD">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4FCC7A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shd w:val="clear" w:color="auto" w:fill="auto"/>
            <w:vAlign w:val="center"/>
          </w:tcPr>
          <w:p w14:paraId="7C34D3C5">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3</w:t>
            </w:r>
          </w:p>
        </w:tc>
        <w:tc>
          <w:tcPr>
            <w:tcW w:w="1397" w:type="dxa"/>
            <w:tcBorders>
              <w:tl2br w:val="nil"/>
              <w:tr2bl w:val="nil"/>
            </w:tcBorders>
            <w:shd w:val="clear" w:color="auto" w:fill="auto"/>
            <w:vAlign w:val="center"/>
          </w:tcPr>
          <w:p w14:paraId="02B9F7A6">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4"/>
                <w:sz w:val="21"/>
                <w:szCs w:val="21"/>
              </w:rPr>
              <w:t>出水溢流堰</w:t>
            </w:r>
          </w:p>
        </w:tc>
        <w:tc>
          <w:tcPr>
            <w:tcW w:w="0" w:type="auto"/>
            <w:tcBorders>
              <w:tl2br w:val="nil"/>
              <w:tr2bl w:val="nil"/>
            </w:tcBorders>
            <w:shd w:val="clear" w:color="auto" w:fill="auto"/>
            <w:vAlign w:val="center"/>
          </w:tcPr>
          <w:p w14:paraId="451C8D43">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6"/>
                <w:sz w:val="21"/>
                <w:szCs w:val="21"/>
              </w:rPr>
              <w:t>齿形堰（两侧）</w:t>
            </w:r>
          </w:p>
        </w:tc>
        <w:tc>
          <w:tcPr>
            <w:tcW w:w="0" w:type="auto"/>
            <w:tcBorders>
              <w:tl2br w:val="nil"/>
              <w:tr2bl w:val="nil"/>
            </w:tcBorders>
            <w:shd w:val="clear" w:color="auto" w:fill="auto"/>
            <w:vAlign w:val="center"/>
          </w:tcPr>
          <w:p w14:paraId="3FA08541">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米</w:t>
            </w:r>
          </w:p>
        </w:tc>
        <w:tc>
          <w:tcPr>
            <w:tcW w:w="0" w:type="auto"/>
            <w:tcBorders>
              <w:tl2br w:val="nil"/>
              <w:tr2bl w:val="nil"/>
            </w:tcBorders>
            <w:vAlign w:val="center"/>
          </w:tcPr>
          <w:p w14:paraId="38393BC7">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326</w:t>
            </w:r>
          </w:p>
        </w:tc>
        <w:tc>
          <w:tcPr>
            <w:tcW w:w="0" w:type="auto"/>
            <w:tcBorders>
              <w:tl2br w:val="nil"/>
              <w:tr2bl w:val="nil"/>
            </w:tcBorders>
            <w:vAlign w:val="center"/>
          </w:tcPr>
          <w:p w14:paraId="5CBF72FF">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326</w:t>
            </w:r>
          </w:p>
        </w:tc>
        <w:tc>
          <w:tcPr>
            <w:tcW w:w="0" w:type="auto"/>
            <w:tcBorders>
              <w:tl2br w:val="nil"/>
              <w:tr2bl w:val="nil"/>
            </w:tcBorders>
            <w:vAlign w:val="center"/>
          </w:tcPr>
          <w:p w14:paraId="4690E8FE">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7A75BB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shd w:val="clear" w:color="auto" w:fill="auto"/>
            <w:vAlign w:val="center"/>
          </w:tcPr>
          <w:p w14:paraId="5CF03D7A">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1"/>
                <w:sz w:val="21"/>
                <w:szCs w:val="21"/>
              </w:rPr>
              <w:t>4</w:t>
            </w:r>
          </w:p>
        </w:tc>
        <w:tc>
          <w:tcPr>
            <w:tcW w:w="1397" w:type="dxa"/>
            <w:tcBorders>
              <w:tl2br w:val="nil"/>
              <w:tr2bl w:val="nil"/>
            </w:tcBorders>
            <w:shd w:val="clear" w:color="auto" w:fill="auto"/>
            <w:vAlign w:val="center"/>
          </w:tcPr>
          <w:p w14:paraId="2D2E6DD0">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6"/>
                <w:sz w:val="21"/>
                <w:szCs w:val="21"/>
              </w:rPr>
              <w:t>浮渣挡板</w:t>
            </w:r>
          </w:p>
        </w:tc>
        <w:tc>
          <w:tcPr>
            <w:tcW w:w="0" w:type="auto"/>
            <w:tcBorders>
              <w:tl2br w:val="nil"/>
              <w:tr2bl w:val="nil"/>
            </w:tcBorders>
            <w:shd w:val="clear" w:color="auto" w:fill="auto"/>
            <w:vAlign w:val="center"/>
          </w:tcPr>
          <w:p w14:paraId="4EA30820">
            <w:pPr>
              <w:pStyle w:val="32"/>
              <w:keepNext w:val="0"/>
              <w:keepLines w:val="0"/>
              <w:pageBreakBefore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w:t>
            </w:r>
          </w:p>
        </w:tc>
        <w:tc>
          <w:tcPr>
            <w:tcW w:w="0" w:type="auto"/>
            <w:tcBorders>
              <w:tl2br w:val="nil"/>
              <w:tr2bl w:val="nil"/>
            </w:tcBorders>
            <w:shd w:val="clear" w:color="auto" w:fill="auto"/>
            <w:vAlign w:val="center"/>
          </w:tcPr>
          <w:p w14:paraId="274D3C65">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米</w:t>
            </w:r>
          </w:p>
        </w:tc>
        <w:tc>
          <w:tcPr>
            <w:tcW w:w="0" w:type="auto"/>
            <w:tcBorders>
              <w:tl2br w:val="nil"/>
              <w:tr2bl w:val="nil"/>
            </w:tcBorders>
            <w:vAlign w:val="center"/>
          </w:tcPr>
          <w:p w14:paraId="09B58ECA">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82</w:t>
            </w:r>
          </w:p>
        </w:tc>
        <w:tc>
          <w:tcPr>
            <w:tcW w:w="0" w:type="auto"/>
            <w:tcBorders>
              <w:tl2br w:val="nil"/>
              <w:tr2bl w:val="nil"/>
            </w:tcBorders>
            <w:vAlign w:val="center"/>
          </w:tcPr>
          <w:p w14:paraId="523C4BCC">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82</w:t>
            </w:r>
          </w:p>
        </w:tc>
        <w:tc>
          <w:tcPr>
            <w:tcW w:w="0" w:type="auto"/>
            <w:tcBorders>
              <w:tl2br w:val="nil"/>
              <w:tr2bl w:val="nil"/>
            </w:tcBorders>
            <w:vAlign w:val="center"/>
          </w:tcPr>
          <w:p w14:paraId="5C6DB38F">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0FCB6B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shd w:val="clear" w:color="auto" w:fill="auto"/>
            <w:vAlign w:val="center"/>
          </w:tcPr>
          <w:p w14:paraId="4627F18E">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5</w:t>
            </w:r>
          </w:p>
        </w:tc>
        <w:tc>
          <w:tcPr>
            <w:tcW w:w="1397" w:type="dxa"/>
            <w:tcBorders>
              <w:tl2br w:val="nil"/>
              <w:tr2bl w:val="nil"/>
            </w:tcBorders>
            <w:shd w:val="clear" w:color="auto" w:fill="auto"/>
            <w:vAlign w:val="center"/>
          </w:tcPr>
          <w:p w14:paraId="48876724">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6"/>
                <w:sz w:val="21"/>
                <w:szCs w:val="21"/>
              </w:rPr>
              <w:t>浮渣斗</w:t>
            </w:r>
          </w:p>
        </w:tc>
        <w:tc>
          <w:tcPr>
            <w:tcW w:w="0" w:type="auto"/>
            <w:tcBorders>
              <w:tl2br w:val="nil"/>
              <w:tr2bl w:val="nil"/>
            </w:tcBorders>
            <w:shd w:val="clear" w:color="auto" w:fill="auto"/>
            <w:vAlign w:val="center"/>
          </w:tcPr>
          <w:p w14:paraId="431430B8">
            <w:pPr>
              <w:pStyle w:val="32"/>
              <w:keepNext w:val="0"/>
              <w:keepLines w:val="0"/>
              <w:pageBreakBefore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w:t>
            </w:r>
          </w:p>
        </w:tc>
        <w:tc>
          <w:tcPr>
            <w:tcW w:w="0" w:type="auto"/>
            <w:tcBorders>
              <w:tl2br w:val="nil"/>
              <w:tr2bl w:val="nil"/>
            </w:tcBorders>
            <w:shd w:val="clear" w:color="auto" w:fill="auto"/>
            <w:vAlign w:val="center"/>
          </w:tcPr>
          <w:p w14:paraId="64A44608">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个</w:t>
            </w:r>
          </w:p>
        </w:tc>
        <w:tc>
          <w:tcPr>
            <w:tcW w:w="0" w:type="auto"/>
            <w:tcBorders>
              <w:tl2br w:val="nil"/>
              <w:tr2bl w:val="nil"/>
            </w:tcBorders>
            <w:vAlign w:val="center"/>
          </w:tcPr>
          <w:p w14:paraId="4914679E">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3B980D51">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04510CB3">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7EF8E9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shd w:val="clear" w:color="auto" w:fill="auto"/>
            <w:vAlign w:val="center"/>
          </w:tcPr>
          <w:p w14:paraId="583E1703">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6</w:t>
            </w:r>
          </w:p>
        </w:tc>
        <w:tc>
          <w:tcPr>
            <w:tcW w:w="1397" w:type="dxa"/>
            <w:tcBorders>
              <w:tl2br w:val="nil"/>
              <w:tr2bl w:val="nil"/>
            </w:tcBorders>
            <w:shd w:val="clear" w:color="auto" w:fill="auto"/>
            <w:vAlign w:val="center"/>
          </w:tcPr>
          <w:p w14:paraId="35FCE29B">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4"/>
                <w:sz w:val="21"/>
                <w:szCs w:val="21"/>
              </w:rPr>
              <w:t>球阀</w:t>
            </w:r>
          </w:p>
        </w:tc>
        <w:tc>
          <w:tcPr>
            <w:tcW w:w="0" w:type="auto"/>
            <w:tcBorders>
              <w:tl2br w:val="nil"/>
              <w:tr2bl w:val="nil"/>
            </w:tcBorders>
            <w:shd w:val="clear" w:color="auto" w:fill="auto"/>
            <w:vAlign w:val="center"/>
          </w:tcPr>
          <w:p w14:paraId="7B7598F3">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DN</w:t>
            </w:r>
            <w:r>
              <w:rPr>
                <w:rFonts w:hint="eastAsia" w:ascii="宋体" w:hAnsi="宋体" w:eastAsia="宋体" w:cs="宋体"/>
                <w:spacing w:val="7"/>
                <w:sz w:val="21"/>
                <w:szCs w:val="21"/>
              </w:rPr>
              <w:t>300</w:t>
            </w:r>
          </w:p>
        </w:tc>
        <w:tc>
          <w:tcPr>
            <w:tcW w:w="0" w:type="auto"/>
            <w:tcBorders>
              <w:tl2br w:val="nil"/>
              <w:tr2bl w:val="nil"/>
            </w:tcBorders>
            <w:shd w:val="clear" w:color="auto" w:fill="auto"/>
            <w:vAlign w:val="center"/>
          </w:tcPr>
          <w:p w14:paraId="480F7DDA">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个</w:t>
            </w:r>
          </w:p>
        </w:tc>
        <w:tc>
          <w:tcPr>
            <w:tcW w:w="0" w:type="auto"/>
            <w:tcBorders>
              <w:tl2br w:val="nil"/>
              <w:tr2bl w:val="nil"/>
            </w:tcBorders>
            <w:vAlign w:val="center"/>
          </w:tcPr>
          <w:p w14:paraId="1A3C83F8">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6527CDA2">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40D63FD6">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37F18A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shd w:val="clear" w:color="auto" w:fill="auto"/>
            <w:vAlign w:val="center"/>
          </w:tcPr>
          <w:p w14:paraId="38C69FD8">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7</w:t>
            </w:r>
          </w:p>
        </w:tc>
        <w:tc>
          <w:tcPr>
            <w:tcW w:w="1397" w:type="dxa"/>
            <w:tcBorders>
              <w:tl2br w:val="nil"/>
              <w:tr2bl w:val="nil"/>
            </w:tcBorders>
            <w:shd w:val="clear" w:color="auto" w:fill="auto"/>
            <w:vAlign w:val="center"/>
          </w:tcPr>
          <w:p w14:paraId="73D8F91E">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8"/>
                <w:sz w:val="21"/>
                <w:szCs w:val="21"/>
              </w:rPr>
              <w:t>铸铁镶铜闸门</w:t>
            </w:r>
          </w:p>
        </w:tc>
        <w:tc>
          <w:tcPr>
            <w:tcW w:w="0" w:type="auto"/>
            <w:tcBorders>
              <w:tl2br w:val="nil"/>
              <w:tr2bl w:val="nil"/>
            </w:tcBorders>
            <w:shd w:val="clear" w:color="auto" w:fill="auto"/>
            <w:vAlign w:val="center"/>
          </w:tcPr>
          <w:p w14:paraId="78DB26CD">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DN</w:t>
            </w:r>
            <w:r>
              <w:rPr>
                <w:rFonts w:hint="eastAsia" w:ascii="宋体" w:hAnsi="宋体" w:eastAsia="宋体" w:cs="宋体"/>
                <w:spacing w:val="7"/>
                <w:sz w:val="21"/>
                <w:szCs w:val="21"/>
              </w:rPr>
              <w:t>300</w:t>
            </w:r>
          </w:p>
        </w:tc>
        <w:tc>
          <w:tcPr>
            <w:tcW w:w="0" w:type="auto"/>
            <w:tcBorders>
              <w:tl2br w:val="nil"/>
              <w:tr2bl w:val="nil"/>
            </w:tcBorders>
            <w:shd w:val="clear" w:color="auto" w:fill="auto"/>
            <w:vAlign w:val="center"/>
          </w:tcPr>
          <w:p w14:paraId="0EF8F9C3">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套</w:t>
            </w:r>
          </w:p>
        </w:tc>
        <w:tc>
          <w:tcPr>
            <w:tcW w:w="0" w:type="auto"/>
            <w:tcBorders>
              <w:tl2br w:val="nil"/>
              <w:tr2bl w:val="nil"/>
            </w:tcBorders>
            <w:vAlign w:val="center"/>
          </w:tcPr>
          <w:p w14:paraId="684C42E5">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07CE2C80">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7D02BE49">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6722DB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shd w:val="clear" w:color="auto" w:fill="auto"/>
            <w:vAlign w:val="center"/>
          </w:tcPr>
          <w:p w14:paraId="70427467">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8</w:t>
            </w:r>
          </w:p>
        </w:tc>
        <w:tc>
          <w:tcPr>
            <w:tcW w:w="1397" w:type="dxa"/>
            <w:tcBorders>
              <w:tl2br w:val="nil"/>
              <w:tr2bl w:val="nil"/>
            </w:tcBorders>
            <w:shd w:val="clear" w:color="auto" w:fill="auto"/>
            <w:vAlign w:val="center"/>
          </w:tcPr>
          <w:p w14:paraId="6C901496">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7"/>
                <w:sz w:val="21"/>
                <w:szCs w:val="21"/>
              </w:rPr>
              <w:t>伸缩节</w:t>
            </w:r>
          </w:p>
        </w:tc>
        <w:tc>
          <w:tcPr>
            <w:tcW w:w="0" w:type="auto"/>
            <w:tcBorders>
              <w:tl2br w:val="nil"/>
              <w:tr2bl w:val="nil"/>
            </w:tcBorders>
            <w:shd w:val="clear" w:color="auto" w:fill="auto"/>
            <w:vAlign w:val="center"/>
          </w:tcPr>
          <w:p w14:paraId="3F62DF75">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DN</w:t>
            </w:r>
            <w:r>
              <w:rPr>
                <w:rFonts w:hint="eastAsia" w:ascii="宋体" w:hAnsi="宋体" w:eastAsia="宋体" w:cs="宋体"/>
                <w:spacing w:val="7"/>
                <w:sz w:val="21"/>
                <w:szCs w:val="21"/>
              </w:rPr>
              <w:t>300</w:t>
            </w:r>
          </w:p>
        </w:tc>
        <w:tc>
          <w:tcPr>
            <w:tcW w:w="0" w:type="auto"/>
            <w:tcBorders>
              <w:tl2br w:val="nil"/>
              <w:tr2bl w:val="nil"/>
            </w:tcBorders>
            <w:shd w:val="clear" w:color="auto" w:fill="auto"/>
            <w:vAlign w:val="center"/>
          </w:tcPr>
          <w:p w14:paraId="5A2D133E">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台</w:t>
            </w:r>
          </w:p>
        </w:tc>
        <w:tc>
          <w:tcPr>
            <w:tcW w:w="0" w:type="auto"/>
            <w:tcBorders>
              <w:tl2br w:val="nil"/>
              <w:tr2bl w:val="nil"/>
            </w:tcBorders>
            <w:vAlign w:val="center"/>
          </w:tcPr>
          <w:p w14:paraId="1F7EE617">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5103A7F1">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4A5DE939">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0D4646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5265E26B">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t>六</w:t>
            </w:r>
          </w:p>
        </w:tc>
        <w:tc>
          <w:tcPr>
            <w:tcW w:w="7836" w:type="dxa"/>
            <w:gridSpan w:val="6"/>
            <w:tcBorders>
              <w:tl2br w:val="nil"/>
              <w:tr2bl w:val="nil"/>
            </w:tcBorders>
            <w:vAlign w:val="center"/>
          </w:tcPr>
          <w:p w14:paraId="69052FCE">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b/>
                <w:bCs/>
                <w:spacing w:val="7"/>
                <w:sz w:val="21"/>
                <w:szCs w:val="21"/>
              </w:rPr>
              <w:t>二次提升泵房</w:t>
            </w:r>
          </w:p>
        </w:tc>
      </w:tr>
      <w:tr w14:paraId="4CA2A6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384C5C0D">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397" w:type="dxa"/>
            <w:tcBorders>
              <w:tl2br w:val="nil"/>
              <w:tr2bl w:val="nil"/>
            </w:tcBorders>
            <w:vAlign w:val="center"/>
          </w:tcPr>
          <w:p w14:paraId="3E8B7D9C">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pacing w:val="7"/>
                <w:sz w:val="21"/>
                <w:szCs w:val="21"/>
              </w:rPr>
              <w:t>潜水泵</w:t>
            </w:r>
          </w:p>
        </w:tc>
        <w:tc>
          <w:tcPr>
            <w:tcW w:w="0" w:type="auto"/>
            <w:tcBorders>
              <w:tl2br w:val="nil"/>
              <w:tr2bl w:val="nil"/>
            </w:tcBorders>
            <w:vAlign w:val="center"/>
          </w:tcPr>
          <w:p w14:paraId="5016C9C4">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pacing w:val="-2"/>
                <w:sz w:val="21"/>
                <w:szCs w:val="21"/>
              </w:rPr>
              <w:t>Q=312.5m</w:t>
            </w:r>
            <w:r>
              <w:rPr>
                <w:rFonts w:hint="eastAsia" w:ascii="宋体" w:hAnsi="宋体" w:eastAsia="宋体" w:cs="宋体"/>
                <w:spacing w:val="-2"/>
                <w:sz w:val="21"/>
                <w:szCs w:val="21"/>
                <w:vertAlign w:val="superscript"/>
                <w:lang w:val="en-US" w:eastAsia="zh-CN"/>
              </w:rPr>
              <w:t>3</w:t>
            </w:r>
            <w:r>
              <w:rPr>
                <w:rFonts w:hint="eastAsia" w:ascii="宋体" w:hAnsi="宋体" w:eastAsia="宋体" w:cs="宋体"/>
                <w:spacing w:val="-2"/>
                <w:sz w:val="21"/>
                <w:szCs w:val="21"/>
              </w:rPr>
              <w:t>/h</w:t>
            </w:r>
            <w:r>
              <w:rPr>
                <w:rFonts w:hint="eastAsia" w:ascii="宋体" w:hAnsi="宋体" w:eastAsia="宋体" w:cs="宋体"/>
                <w:spacing w:val="-2"/>
                <w:sz w:val="21"/>
                <w:szCs w:val="21"/>
                <w:lang w:eastAsia="zh-CN"/>
              </w:rPr>
              <w:t>,</w:t>
            </w:r>
            <w:r>
              <w:rPr>
                <w:rFonts w:hint="eastAsia" w:ascii="宋体" w:hAnsi="宋体" w:eastAsia="宋体" w:cs="宋体"/>
                <w:spacing w:val="-2"/>
                <w:sz w:val="21"/>
                <w:szCs w:val="21"/>
              </w:rPr>
              <w:t>H=12m</w:t>
            </w:r>
            <w:r>
              <w:rPr>
                <w:rFonts w:hint="eastAsia" w:ascii="宋体" w:hAnsi="宋体" w:eastAsia="宋体" w:cs="宋体"/>
                <w:spacing w:val="-2"/>
                <w:sz w:val="21"/>
                <w:szCs w:val="21"/>
                <w:lang w:eastAsia="zh-CN"/>
              </w:rPr>
              <w:t>,</w:t>
            </w:r>
            <w:r>
              <w:rPr>
                <w:rFonts w:hint="eastAsia" w:ascii="宋体" w:hAnsi="宋体" w:eastAsia="宋体" w:cs="宋体"/>
                <w:spacing w:val="4"/>
                <w:sz w:val="21"/>
                <w:szCs w:val="21"/>
              </w:rPr>
              <w:t>P=22.5</w:t>
            </w:r>
            <w:r>
              <w:rPr>
                <w:rFonts w:hint="eastAsia" w:ascii="宋体" w:hAnsi="宋体" w:eastAsia="宋体" w:cs="宋体"/>
                <w:spacing w:val="4"/>
                <w:sz w:val="21"/>
                <w:szCs w:val="21"/>
                <w:lang w:eastAsia="zh-CN"/>
              </w:rPr>
              <w:t>kW</w:t>
            </w:r>
          </w:p>
        </w:tc>
        <w:tc>
          <w:tcPr>
            <w:tcW w:w="0" w:type="auto"/>
            <w:tcBorders>
              <w:tl2br w:val="nil"/>
              <w:tr2bl w:val="nil"/>
            </w:tcBorders>
            <w:vAlign w:val="center"/>
          </w:tcPr>
          <w:p w14:paraId="215BE368">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台</w:t>
            </w:r>
          </w:p>
        </w:tc>
        <w:tc>
          <w:tcPr>
            <w:tcW w:w="0" w:type="auto"/>
            <w:tcBorders>
              <w:tl2br w:val="nil"/>
              <w:tr2bl w:val="nil"/>
            </w:tcBorders>
            <w:vAlign w:val="center"/>
          </w:tcPr>
          <w:p w14:paraId="6E2D6D29">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36A33CF2">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5416A5BD">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786DA6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16816668">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397" w:type="dxa"/>
            <w:tcBorders>
              <w:tl2br w:val="nil"/>
              <w:tr2bl w:val="nil"/>
            </w:tcBorders>
            <w:shd w:val="clear" w:color="auto" w:fill="auto"/>
            <w:vAlign w:val="center"/>
          </w:tcPr>
          <w:p w14:paraId="77F0F6A5">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1"/>
                <w:sz w:val="21"/>
                <w:szCs w:val="21"/>
              </w:rPr>
              <w:t>电动球阀</w:t>
            </w:r>
          </w:p>
        </w:tc>
        <w:tc>
          <w:tcPr>
            <w:tcW w:w="0" w:type="auto"/>
            <w:tcBorders>
              <w:tl2br w:val="nil"/>
              <w:tr2bl w:val="nil"/>
            </w:tcBorders>
            <w:shd w:val="clear" w:color="auto" w:fill="auto"/>
            <w:vAlign w:val="center"/>
          </w:tcPr>
          <w:p w14:paraId="3BA11F4B">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position w:val="2"/>
                <w:sz w:val="21"/>
                <w:szCs w:val="21"/>
              </w:rPr>
              <w:t>DN</w:t>
            </w:r>
            <w:r>
              <w:rPr>
                <w:rFonts w:hint="eastAsia" w:ascii="宋体" w:hAnsi="宋体" w:eastAsia="宋体" w:cs="宋体"/>
                <w:spacing w:val="5"/>
                <w:position w:val="2"/>
                <w:sz w:val="21"/>
                <w:szCs w:val="21"/>
              </w:rPr>
              <w:t>300P=0.55</w:t>
            </w:r>
            <w:r>
              <w:rPr>
                <w:rFonts w:hint="eastAsia" w:ascii="宋体" w:hAnsi="宋体" w:eastAsia="宋体" w:cs="宋体"/>
                <w:spacing w:val="5"/>
                <w:position w:val="2"/>
                <w:sz w:val="21"/>
                <w:szCs w:val="21"/>
                <w:lang w:eastAsia="zh-CN"/>
              </w:rPr>
              <w:t>kW</w:t>
            </w:r>
          </w:p>
        </w:tc>
        <w:tc>
          <w:tcPr>
            <w:tcW w:w="0" w:type="auto"/>
            <w:tcBorders>
              <w:tl2br w:val="nil"/>
              <w:tr2bl w:val="nil"/>
            </w:tcBorders>
            <w:shd w:val="clear" w:color="auto" w:fill="auto"/>
            <w:vAlign w:val="center"/>
          </w:tcPr>
          <w:p w14:paraId="72FA8FF9">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套</w:t>
            </w:r>
          </w:p>
        </w:tc>
        <w:tc>
          <w:tcPr>
            <w:tcW w:w="0" w:type="auto"/>
            <w:tcBorders>
              <w:tl2br w:val="nil"/>
              <w:tr2bl w:val="nil"/>
            </w:tcBorders>
            <w:shd w:val="clear" w:color="auto" w:fill="auto"/>
            <w:vAlign w:val="center"/>
          </w:tcPr>
          <w:p w14:paraId="3255FA37">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1</w:t>
            </w:r>
          </w:p>
        </w:tc>
        <w:tc>
          <w:tcPr>
            <w:tcW w:w="0" w:type="auto"/>
            <w:tcBorders>
              <w:tl2br w:val="nil"/>
              <w:tr2bl w:val="nil"/>
            </w:tcBorders>
            <w:shd w:val="clear" w:color="auto" w:fill="auto"/>
            <w:vAlign w:val="center"/>
          </w:tcPr>
          <w:p w14:paraId="2C3218EA">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58A23C00">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344BCF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7BE382C0">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1397" w:type="dxa"/>
            <w:tcBorders>
              <w:tl2br w:val="nil"/>
              <w:tr2bl w:val="nil"/>
            </w:tcBorders>
            <w:shd w:val="clear" w:color="auto" w:fill="auto"/>
            <w:vAlign w:val="center"/>
          </w:tcPr>
          <w:p w14:paraId="77904FE7">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6"/>
                <w:sz w:val="21"/>
                <w:szCs w:val="21"/>
              </w:rPr>
              <w:t>止回阀</w:t>
            </w:r>
          </w:p>
        </w:tc>
        <w:tc>
          <w:tcPr>
            <w:tcW w:w="0" w:type="auto"/>
            <w:tcBorders>
              <w:tl2br w:val="nil"/>
              <w:tr2bl w:val="nil"/>
            </w:tcBorders>
            <w:shd w:val="clear" w:color="auto" w:fill="auto"/>
            <w:vAlign w:val="center"/>
          </w:tcPr>
          <w:p w14:paraId="5F14F4FE">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DN</w:t>
            </w:r>
            <w:r>
              <w:rPr>
                <w:rFonts w:hint="eastAsia" w:ascii="宋体" w:hAnsi="宋体" w:eastAsia="宋体" w:cs="宋体"/>
                <w:spacing w:val="7"/>
                <w:sz w:val="21"/>
                <w:szCs w:val="21"/>
              </w:rPr>
              <w:t>300</w:t>
            </w:r>
          </w:p>
        </w:tc>
        <w:tc>
          <w:tcPr>
            <w:tcW w:w="0" w:type="auto"/>
            <w:tcBorders>
              <w:tl2br w:val="nil"/>
              <w:tr2bl w:val="nil"/>
            </w:tcBorders>
            <w:shd w:val="clear" w:color="auto" w:fill="auto"/>
            <w:vAlign w:val="center"/>
          </w:tcPr>
          <w:p w14:paraId="3CA0960C">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套</w:t>
            </w:r>
          </w:p>
        </w:tc>
        <w:tc>
          <w:tcPr>
            <w:tcW w:w="0" w:type="auto"/>
            <w:tcBorders>
              <w:tl2br w:val="nil"/>
              <w:tr2bl w:val="nil"/>
            </w:tcBorders>
            <w:shd w:val="clear" w:color="auto" w:fill="auto"/>
            <w:vAlign w:val="center"/>
          </w:tcPr>
          <w:p w14:paraId="23E7A854">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1</w:t>
            </w:r>
          </w:p>
        </w:tc>
        <w:tc>
          <w:tcPr>
            <w:tcW w:w="0" w:type="auto"/>
            <w:tcBorders>
              <w:tl2br w:val="nil"/>
              <w:tr2bl w:val="nil"/>
            </w:tcBorders>
            <w:shd w:val="clear" w:color="auto" w:fill="auto"/>
            <w:vAlign w:val="center"/>
          </w:tcPr>
          <w:p w14:paraId="56B6A08C">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367AF0DF">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548272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5D762630">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p>
        </w:tc>
        <w:tc>
          <w:tcPr>
            <w:tcW w:w="1397" w:type="dxa"/>
            <w:tcBorders>
              <w:tl2br w:val="nil"/>
              <w:tr2bl w:val="nil"/>
            </w:tcBorders>
            <w:shd w:val="clear" w:color="auto" w:fill="auto"/>
            <w:vAlign w:val="center"/>
          </w:tcPr>
          <w:p w14:paraId="36D813B7">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7"/>
                <w:sz w:val="21"/>
                <w:szCs w:val="21"/>
              </w:rPr>
              <w:t>伸缩节</w:t>
            </w:r>
          </w:p>
        </w:tc>
        <w:tc>
          <w:tcPr>
            <w:tcW w:w="0" w:type="auto"/>
            <w:tcBorders>
              <w:tl2br w:val="nil"/>
              <w:tr2bl w:val="nil"/>
            </w:tcBorders>
            <w:shd w:val="clear" w:color="auto" w:fill="auto"/>
            <w:vAlign w:val="center"/>
          </w:tcPr>
          <w:p w14:paraId="0B8528DC">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DN</w:t>
            </w:r>
            <w:r>
              <w:rPr>
                <w:rFonts w:hint="eastAsia" w:ascii="宋体" w:hAnsi="宋体" w:eastAsia="宋体" w:cs="宋体"/>
                <w:spacing w:val="7"/>
                <w:sz w:val="21"/>
                <w:szCs w:val="21"/>
              </w:rPr>
              <w:t>300</w:t>
            </w:r>
          </w:p>
        </w:tc>
        <w:tc>
          <w:tcPr>
            <w:tcW w:w="0" w:type="auto"/>
            <w:tcBorders>
              <w:tl2br w:val="nil"/>
              <w:tr2bl w:val="nil"/>
            </w:tcBorders>
            <w:shd w:val="clear" w:color="auto" w:fill="auto"/>
            <w:vAlign w:val="center"/>
          </w:tcPr>
          <w:p w14:paraId="67FD4610">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套</w:t>
            </w:r>
          </w:p>
        </w:tc>
        <w:tc>
          <w:tcPr>
            <w:tcW w:w="0" w:type="auto"/>
            <w:tcBorders>
              <w:tl2br w:val="nil"/>
              <w:tr2bl w:val="nil"/>
            </w:tcBorders>
            <w:shd w:val="clear" w:color="auto" w:fill="auto"/>
            <w:vAlign w:val="center"/>
          </w:tcPr>
          <w:p w14:paraId="064E4F6F">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1</w:t>
            </w:r>
          </w:p>
        </w:tc>
        <w:tc>
          <w:tcPr>
            <w:tcW w:w="0" w:type="auto"/>
            <w:tcBorders>
              <w:tl2br w:val="nil"/>
              <w:tr2bl w:val="nil"/>
            </w:tcBorders>
            <w:shd w:val="clear" w:color="auto" w:fill="auto"/>
            <w:vAlign w:val="center"/>
          </w:tcPr>
          <w:p w14:paraId="3611E431">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5B12A093">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44BF1C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4E437C26">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t>七</w:t>
            </w:r>
          </w:p>
        </w:tc>
        <w:tc>
          <w:tcPr>
            <w:tcW w:w="7836" w:type="dxa"/>
            <w:gridSpan w:val="6"/>
            <w:tcBorders>
              <w:tl2br w:val="nil"/>
              <w:tr2bl w:val="nil"/>
            </w:tcBorders>
            <w:shd w:val="clear" w:color="auto" w:fill="auto"/>
            <w:vAlign w:val="center"/>
          </w:tcPr>
          <w:p w14:paraId="75DF3F2F">
            <w:pPr>
              <w:keepNext w:val="0"/>
              <w:keepLines w:val="0"/>
              <w:widowControl/>
              <w:suppressLineNumbers w:val="0"/>
              <w:jc w:val="center"/>
              <w:rPr>
                <w:rFonts w:hint="eastAsia" w:ascii="宋体" w:hAnsi="宋体" w:eastAsia="宋体" w:cs="宋体"/>
                <w:sz w:val="21"/>
                <w:szCs w:val="21"/>
                <w:vertAlign w:val="baseline"/>
                <w:lang w:val="en-US" w:eastAsia="zh-CN"/>
              </w:rPr>
            </w:pPr>
            <w:r>
              <w:rPr>
                <w:rFonts w:hint="eastAsia" w:ascii="宋体" w:hAnsi="宋体" w:eastAsia="宋体" w:cs="宋体"/>
                <w:b/>
                <w:bCs/>
                <w:spacing w:val="7"/>
                <w:kern w:val="2"/>
                <w:sz w:val="21"/>
                <w:szCs w:val="21"/>
                <w:lang w:val="en-US" w:eastAsia="zh-CN" w:bidi="ar-SA"/>
              </w:rPr>
              <w:t>磁混凝除氟沉淀系统</w:t>
            </w:r>
          </w:p>
        </w:tc>
      </w:tr>
      <w:tr w14:paraId="243C98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0C216042">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397" w:type="dxa"/>
            <w:tcBorders>
              <w:tl2br w:val="nil"/>
              <w:tr2bl w:val="nil"/>
            </w:tcBorders>
            <w:shd w:val="clear" w:color="auto" w:fill="auto"/>
            <w:vAlign w:val="center"/>
          </w:tcPr>
          <w:p w14:paraId="00B15A88">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进水电磁流量计</w:t>
            </w:r>
          </w:p>
        </w:tc>
        <w:tc>
          <w:tcPr>
            <w:tcW w:w="0" w:type="auto"/>
            <w:tcBorders>
              <w:tl2br w:val="nil"/>
              <w:tr2bl w:val="nil"/>
            </w:tcBorders>
            <w:shd w:val="clear" w:color="auto" w:fill="auto"/>
            <w:vAlign w:val="center"/>
          </w:tcPr>
          <w:p w14:paraId="1E7538C0">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DN250,1.0MPa</w:t>
            </w:r>
          </w:p>
        </w:tc>
        <w:tc>
          <w:tcPr>
            <w:tcW w:w="0" w:type="auto"/>
            <w:tcBorders>
              <w:tl2br w:val="nil"/>
              <w:tr2bl w:val="nil"/>
            </w:tcBorders>
            <w:shd w:val="clear" w:color="auto" w:fill="auto"/>
            <w:vAlign w:val="center"/>
          </w:tcPr>
          <w:p w14:paraId="69598CFD">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套</w:t>
            </w:r>
          </w:p>
        </w:tc>
        <w:tc>
          <w:tcPr>
            <w:tcW w:w="0" w:type="auto"/>
            <w:tcBorders>
              <w:tl2br w:val="nil"/>
              <w:tr2bl w:val="nil"/>
            </w:tcBorders>
            <w:shd w:val="clear" w:color="auto" w:fill="auto"/>
            <w:vAlign w:val="center"/>
          </w:tcPr>
          <w:p w14:paraId="448BFC17">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0</w:t>
            </w:r>
          </w:p>
        </w:tc>
        <w:tc>
          <w:tcPr>
            <w:tcW w:w="0" w:type="auto"/>
            <w:tcBorders>
              <w:tl2br w:val="nil"/>
              <w:tr2bl w:val="nil"/>
            </w:tcBorders>
            <w:shd w:val="clear" w:color="auto" w:fill="auto"/>
            <w:vAlign w:val="center"/>
          </w:tcPr>
          <w:p w14:paraId="7AE8AE65">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22767A93">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78F2BE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29BE3932">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397" w:type="dxa"/>
            <w:tcBorders>
              <w:tl2br w:val="nil"/>
              <w:tr2bl w:val="nil"/>
            </w:tcBorders>
            <w:shd w:val="clear" w:color="auto" w:fill="auto"/>
            <w:vAlign w:val="center"/>
          </w:tcPr>
          <w:p w14:paraId="45ACE1E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spacing w:val="7"/>
                <w:sz w:val="21"/>
                <w:szCs w:val="21"/>
              </w:rPr>
            </w:pPr>
            <w:r>
              <w:rPr>
                <w:rFonts w:hint="eastAsia" w:ascii="宋体" w:hAnsi="宋体" w:eastAsia="宋体" w:cs="宋体"/>
                <w:i w:val="0"/>
                <w:iCs w:val="0"/>
                <w:color w:val="000000"/>
                <w:kern w:val="0"/>
                <w:sz w:val="21"/>
                <w:szCs w:val="21"/>
                <w:u w:val="none"/>
                <w:lang w:val="en-US" w:eastAsia="zh-CN" w:bidi="ar"/>
              </w:rPr>
              <w:t>钢结构框架</w:t>
            </w:r>
          </w:p>
        </w:tc>
        <w:tc>
          <w:tcPr>
            <w:tcW w:w="0" w:type="auto"/>
            <w:tcBorders>
              <w:tl2br w:val="nil"/>
              <w:tr2bl w:val="nil"/>
            </w:tcBorders>
            <w:shd w:val="clear" w:color="auto" w:fill="auto"/>
            <w:vAlign w:val="center"/>
          </w:tcPr>
          <w:p w14:paraId="72E99510">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sz w:val="21"/>
                <w:szCs w:val="21"/>
                <w:vertAlign w:val="baseline"/>
                <w:lang w:val="en-US" w:eastAsia="zh-CN"/>
              </w:rPr>
              <w:t>/</w:t>
            </w:r>
          </w:p>
        </w:tc>
        <w:tc>
          <w:tcPr>
            <w:tcW w:w="0" w:type="auto"/>
            <w:tcBorders>
              <w:tl2br w:val="nil"/>
              <w:tr2bl w:val="nil"/>
            </w:tcBorders>
            <w:shd w:val="clear" w:color="auto" w:fill="auto"/>
            <w:vAlign w:val="center"/>
          </w:tcPr>
          <w:p w14:paraId="04555BD6">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套</w:t>
            </w:r>
          </w:p>
        </w:tc>
        <w:tc>
          <w:tcPr>
            <w:tcW w:w="0" w:type="auto"/>
            <w:tcBorders>
              <w:tl2br w:val="nil"/>
              <w:tr2bl w:val="nil"/>
            </w:tcBorders>
            <w:shd w:val="clear" w:color="auto" w:fill="auto"/>
            <w:vAlign w:val="center"/>
          </w:tcPr>
          <w:p w14:paraId="39F8C9E6">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0</w:t>
            </w:r>
          </w:p>
        </w:tc>
        <w:tc>
          <w:tcPr>
            <w:tcW w:w="0" w:type="auto"/>
            <w:tcBorders>
              <w:tl2br w:val="nil"/>
              <w:tr2bl w:val="nil"/>
            </w:tcBorders>
            <w:shd w:val="clear" w:color="auto" w:fill="auto"/>
            <w:vAlign w:val="center"/>
          </w:tcPr>
          <w:p w14:paraId="570325C7">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0" w:type="auto"/>
            <w:tcBorders>
              <w:tl2br w:val="nil"/>
              <w:tr2bl w:val="nil"/>
            </w:tcBorders>
            <w:vAlign w:val="center"/>
          </w:tcPr>
          <w:p w14:paraId="7FDBF651">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4D8CC7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38107BBB">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1397" w:type="dxa"/>
            <w:tcBorders>
              <w:tl2br w:val="nil"/>
              <w:tr2bl w:val="nil"/>
            </w:tcBorders>
            <w:shd w:val="clear" w:color="auto" w:fill="auto"/>
            <w:vAlign w:val="center"/>
          </w:tcPr>
          <w:p w14:paraId="051E4217">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spacing w:val="7"/>
                <w:sz w:val="21"/>
                <w:szCs w:val="21"/>
              </w:rPr>
            </w:pPr>
            <w:r>
              <w:rPr>
                <w:rFonts w:hint="eastAsia" w:ascii="宋体" w:hAnsi="宋体" w:eastAsia="宋体" w:cs="宋体"/>
                <w:i w:val="0"/>
                <w:iCs w:val="0"/>
                <w:color w:val="000000"/>
                <w:kern w:val="0"/>
                <w:sz w:val="21"/>
                <w:szCs w:val="21"/>
                <w:u w:val="none"/>
                <w:lang w:val="en-US" w:eastAsia="zh-CN" w:bidi="ar"/>
              </w:rPr>
              <w:t>箱体</w:t>
            </w:r>
          </w:p>
        </w:tc>
        <w:tc>
          <w:tcPr>
            <w:tcW w:w="0" w:type="auto"/>
            <w:tcBorders>
              <w:tl2br w:val="nil"/>
              <w:tr2bl w:val="nil"/>
            </w:tcBorders>
            <w:shd w:val="clear" w:color="auto" w:fill="auto"/>
            <w:vAlign w:val="center"/>
          </w:tcPr>
          <w:p w14:paraId="41073B87">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sz w:val="21"/>
                <w:szCs w:val="21"/>
                <w:vertAlign w:val="baseline"/>
                <w:lang w:val="en-US" w:eastAsia="zh-CN"/>
              </w:rPr>
              <w:t>/</w:t>
            </w:r>
          </w:p>
        </w:tc>
        <w:tc>
          <w:tcPr>
            <w:tcW w:w="0" w:type="auto"/>
            <w:tcBorders>
              <w:tl2br w:val="nil"/>
              <w:tr2bl w:val="nil"/>
            </w:tcBorders>
            <w:shd w:val="clear" w:color="auto" w:fill="auto"/>
            <w:vAlign w:val="center"/>
          </w:tcPr>
          <w:p w14:paraId="5B55A54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台</w:t>
            </w:r>
          </w:p>
        </w:tc>
        <w:tc>
          <w:tcPr>
            <w:tcW w:w="0" w:type="auto"/>
            <w:tcBorders>
              <w:tl2br w:val="nil"/>
              <w:tr2bl w:val="nil"/>
            </w:tcBorders>
            <w:shd w:val="clear" w:color="auto" w:fill="auto"/>
            <w:vAlign w:val="center"/>
          </w:tcPr>
          <w:p w14:paraId="038CC05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0</w:t>
            </w:r>
          </w:p>
        </w:tc>
        <w:tc>
          <w:tcPr>
            <w:tcW w:w="0" w:type="auto"/>
            <w:tcBorders>
              <w:tl2br w:val="nil"/>
              <w:tr2bl w:val="nil"/>
            </w:tcBorders>
            <w:shd w:val="clear" w:color="auto" w:fill="auto"/>
            <w:vAlign w:val="center"/>
          </w:tcPr>
          <w:p w14:paraId="7B81BAF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0" w:type="auto"/>
            <w:tcBorders>
              <w:tl2br w:val="nil"/>
              <w:tr2bl w:val="nil"/>
            </w:tcBorders>
            <w:vAlign w:val="center"/>
          </w:tcPr>
          <w:p w14:paraId="0BFDF464">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2E6F45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5C7FEF76">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p>
        </w:tc>
        <w:tc>
          <w:tcPr>
            <w:tcW w:w="1397" w:type="dxa"/>
            <w:tcBorders>
              <w:tl2br w:val="nil"/>
              <w:tr2bl w:val="nil"/>
            </w:tcBorders>
            <w:shd w:val="clear" w:color="auto" w:fill="auto"/>
            <w:vAlign w:val="center"/>
          </w:tcPr>
          <w:p w14:paraId="2A787C5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spacing w:val="7"/>
                <w:sz w:val="21"/>
                <w:szCs w:val="21"/>
              </w:rPr>
            </w:pPr>
            <w:r>
              <w:rPr>
                <w:rFonts w:hint="eastAsia" w:ascii="宋体" w:hAnsi="宋体" w:eastAsia="宋体" w:cs="宋体"/>
                <w:i w:val="0"/>
                <w:iCs w:val="0"/>
                <w:color w:val="000000"/>
                <w:kern w:val="0"/>
                <w:sz w:val="21"/>
                <w:szCs w:val="21"/>
                <w:u w:val="none"/>
                <w:lang w:val="en-US" w:eastAsia="zh-CN" w:bidi="ar"/>
              </w:rPr>
              <w:t>箱体</w:t>
            </w:r>
          </w:p>
        </w:tc>
        <w:tc>
          <w:tcPr>
            <w:tcW w:w="0" w:type="auto"/>
            <w:tcBorders>
              <w:tl2br w:val="nil"/>
              <w:tr2bl w:val="nil"/>
            </w:tcBorders>
            <w:shd w:val="clear" w:color="auto" w:fill="auto"/>
            <w:vAlign w:val="center"/>
          </w:tcPr>
          <w:p w14:paraId="530757C2">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sz w:val="21"/>
                <w:szCs w:val="21"/>
                <w:vertAlign w:val="baseline"/>
                <w:lang w:val="en-US" w:eastAsia="zh-CN"/>
              </w:rPr>
              <w:t>/</w:t>
            </w:r>
          </w:p>
        </w:tc>
        <w:tc>
          <w:tcPr>
            <w:tcW w:w="0" w:type="auto"/>
            <w:tcBorders>
              <w:tl2br w:val="nil"/>
              <w:tr2bl w:val="nil"/>
            </w:tcBorders>
            <w:shd w:val="clear" w:color="auto" w:fill="auto"/>
            <w:vAlign w:val="center"/>
          </w:tcPr>
          <w:p w14:paraId="1871425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台</w:t>
            </w:r>
          </w:p>
        </w:tc>
        <w:tc>
          <w:tcPr>
            <w:tcW w:w="0" w:type="auto"/>
            <w:tcBorders>
              <w:tl2br w:val="nil"/>
              <w:tr2bl w:val="nil"/>
            </w:tcBorders>
            <w:shd w:val="clear" w:color="auto" w:fill="auto"/>
            <w:vAlign w:val="center"/>
          </w:tcPr>
          <w:p w14:paraId="5C4B9DC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0</w:t>
            </w:r>
          </w:p>
        </w:tc>
        <w:tc>
          <w:tcPr>
            <w:tcW w:w="0" w:type="auto"/>
            <w:tcBorders>
              <w:tl2br w:val="nil"/>
              <w:tr2bl w:val="nil"/>
            </w:tcBorders>
            <w:shd w:val="clear" w:color="auto" w:fill="auto"/>
            <w:vAlign w:val="center"/>
          </w:tcPr>
          <w:p w14:paraId="65E25B77">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0" w:type="auto"/>
            <w:tcBorders>
              <w:tl2br w:val="nil"/>
              <w:tr2bl w:val="nil"/>
            </w:tcBorders>
            <w:vAlign w:val="center"/>
          </w:tcPr>
          <w:p w14:paraId="6D1E7A47">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25BD85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0CB3C3A3">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w:t>
            </w:r>
          </w:p>
        </w:tc>
        <w:tc>
          <w:tcPr>
            <w:tcW w:w="1397" w:type="dxa"/>
            <w:tcBorders>
              <w:tl2br w:val="nil"/>
              <w:tr2bl w:val="nil"/>
            </w:tcBorders>
            <w:shd w:val="clear" w:color="auto" w:fill="auto"/>
            <w:vAlign w:val="center"/>
          </w:tcPr>
          <w:p w14:paraId="660D914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一级混凝反应器</w:t>
            </w:r>
          </w:p>
        </w:tc>
        <w:tc>
          <w:tcPr>
            <w:tcW w:w="0" w:type="auto"/>
            <w:tcBorders>
              <w:tl2br w:val="nil"/>
              <w:tr2bl w:val="nil"/>
            </w:tcBorders>
            <w:shd w:val="clear" w:color="auto" w:fill="auto"/>
            <w:vAlign w:val="center"/>
          </w:tcPr>
          <w:p w14:paraId="3767B4B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N=3kW</w:t>
            </w:r>
          </w:p>
        </w:tc>
        <w:tc>
          <w:tcPr>
            <w:tcW w:w="0" w:type="auto"/>
            <w:tcBorders>
              <w:tl2br w:val="nil"/>
              <w:tr2bl w:val="nil"/>
            </w:tcBorders>
            <w:shd w:val="clear" w:color="auto" w:fill="auto"/>
            <w:vAlign w:val="center"/>
          </w:tcPr>
          <w:p w14:paraId="3FD6DB8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套</w:t>
            </w:r>
          </w:p>
        </w:tc>
        <w:tc>
          <w:tcPr>
            <w:tcW w:w="0" w:type="auto"/>
            <w:tcBorders>
              <w:tl2br w:val="nil"/>
              <w:tr2bl w:val="nil"/>
            </w:tcBorders>
            <w:shd w:val="clear" w:color="auto" w:fill="auto"/>
            <w:vAlign w:val="center"/>
          </w:tcPr>
          <w:p w14:paraId="0AE9BEC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vertAlign w:val="baseline"/>
                <w:lang w:val="en-US" w:eastAsia="zh-CN"/>
              </w:rPr>
              <w:t>0</w:t>
            </w:r>
          </w:p>
        </w:tc>
        <w:tc>
          <w:tcPr>
            <w:tcW w:w="0" w:type="auto"/>
            <w:tcBorders>
              <w:tl2br w:val="nil"/>
              <w:tr2bl w:val="nil"/>
            </w:tcBorders>
            <w:shd w:val="clear" w:color="auto" w:fill="auto"/>
            <w:vAlign w:val="center"/>
          </w:tcPr>
          <w:p w14:paraId="0C4A173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0" w:type="auto"/>
            <w:tcBorders>
              <w:tl2br w:val="nil"/>
              <w:tr2bl w:val="nil"/>
            </w:tcBorders>
            <w:vAlign w:val="center"/>
          </w:tcPr>
          <w:p w14:paraId="11106DDB">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6FDE4E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62C30443">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w:t>
            </w:r>
          </w:p>
        </w:tc>
        <w:tc>
          <w:tcPr>
            <w:tcW w:w="1397" w:type="dxa"/>
            <w:tcBorders>
              <w:tl2br w:val="nil"/>
              <w:tr2bl w:val="nil"/>
            </w:tcBorders>
            <w:shd w:val="clear" w:color="auto" w:fill="auto"/>
            <w:vAlign w:val="center"/>
          </w:tcPr>
          <w:p w14:paraId="7CE9B9B6">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二级混凝反应器</w:t>
            </w:r>
          </w:p>
        </w:tc>
        <w:tc>
          <w:tcPr>
            <w:tcW w:w="0" w:type="auto"/>
            <w:tcBorders>
              <w:tl2br w:val="nil"/>
              <w:tr2bl w:val="nil"/>
            </w:tcBorders>
            <w:shd w:val="clear" w:color="auto" w:fill="auto"/>
            <w:vAlign w:val="center"/>
          </w:tcPr>
          <w:p w14:paraId="2AF1CE7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N=1.5kW</w:t>
            </w:r>
          </w:p>
        </w:tc>
        <w:tc>
          <w:tcPr>
            <w:tcW w:w="0" w:type="auto"/>
            <w:tcBorders>
              <w:tl2br w:val="nil"/>
              <w:tr2bl w:val="nil"/>
            </w:tcBorders>
            <w:shd w:val="clear" w:color="auto" w:fill="auto"/>
            <w:vAlign w:val="center"/>
          </w:tcPr>
          <w:p w14:paraId="25FE924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套</w:t>
            </w:r>
          </w:p>
        </w:tc>
        <w:tc>
          <w:tcPr>
            <w:tcW w:w="0" w:type="auto"/>
            <w:tcBorders>
              <w:tl2br w:val="nil"/>
              <w:tr2bl w:val="nil"/>
            </w:tcBorders>
            <w:shd w:val="clear" w:color="auto" w:fill="auto"/>
            <w:vAlign w:val="center"/>
          </w:tcPr>
          <w:p w14:paraId="685D1564">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vertAlign w:val="baseline"/>
                <w:lang w:val="en-US" w:eastAsia="zh-CN"/>
              </w:rPr>
              <w:t>0</w:t>
            </w:r>
          </w:p>
        </w:tc>
        <w:tc>
          <w:tcPr>
            <w:tcW w:w="0" w:type="auto"/>
            <w:tcBorders>
              <w:tl2br w:val="nil"/>
              <w:tr2bl w:val="nil"/>
            </w:tcBorders>
            <w:shd w:val="clear" w:color="auto" w:fill="auto"/>
            <w:vAlign w:val="center"/>
          </w:tcPr>
          <w:p w14:paraId="41B52DD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0" w:type="auto"/>
            <w:tcBorders>
              <w:tl2br w:val="nil"/>
              <w:tr2bl w:val="nil"/>
            </w:tcBorders>
            <w:vAlign w:val="center"/>
          </w:tcPr>
          <w:p w14:paraId="083E6539">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20C4CE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1995A4F8">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7</w:t>
            </w:r>
          </w:p>
        </w:tc>
        <w:tc>
          <w:tcPr>
            <w:tcW w:w="1397" w:type="dxa"/>
            <w:tcBorders>
              <w:tl2br w:val="nil"/>
              <w:tr2bl w:val="nil"/>
            </w:tcBorders>
            <w:shd w:val="clear" w:color="auto" w:fill="auto"/>
            <w:vAlign w:val="center"/>
          </w:tcPr>
          <w:p w14:paraId="3B6681B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三级混凝反应器</w:t>
            </w:r>
          </w:p>
        </w:tc>
        <w:tc>
          <w:tcPr>
            <w:tcW w:w="0" w:type="auto"/>
            <w:tcBorders>
              <w:tl2br w:val="nil"/>
              <w:tr2bl w:val="nil"/>
            </w:tcBorders>
            <w:shd w:val="clear" w:color="auto" w:fill="auto"/>
            <w:vAlign w:val="center"/>
          </w:tcPr>
          <w:p w14:paraId="7E2F2B4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N=1.5kW</w:t>
            </w:r>
          </w:p>
        </w:tc>
        <w:tc>
          <w:tcPr>
            <w:tcW w:w="0" w:type="auto"/>
            <w:tcBorders>
              <w:tl2br w:val="nil"/>
              <w:tr2bl w:val="nil"/>
            </w:tcBorders>
            <w:shd w:val="clear" w:color="auto" w:fill="auto"/>
            <w:vAlign w:val="center"/>
          </w:tcPr>
          <w:p w14:paraId="2B385A5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套</w:t>
            </w:r>
          </w:p>
        </w:tc>
        <w:tc>
          <w:tcPr>
            <w:tcW w:w="0" w:type="auto"/>
            <w:tcBorders>
              <w:tl2br w:val="nil"/>
              <w:tr2bl w:val="nil"/>
            </w:tcBorders>
            <w:shd w:val="clear" w:color="auto" w:fill="auto"/>
            <w:vAlign w:val="center"/>
          </w:tcPr>
          <w:p w14:paraId="77A016B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vertAlign w:val="baseline"/>
                <w:lang w:val="en-US" w:eastAsia="zh-CN"/>
              </w:rPr>
              <w:t>0</w:t>
            </w:r>
          </w:p>
        </w:tc>
        <w:tc>
          <w:tcPr>
            <w:tcW w:w="0" w:type="auto"/>
            <w:tcBorders>
              <w:tl2br w:val="nil"/>
              <w:tr2bl w:val="nil"/>
            </w:tcBorders>
            <w:shd w:val="clear" w:color="auto" w:fill="auto"/>
            <w:vAlign w:val="center"/>
          </w:tcPr>
          <w:p w14:paraId="26D64BE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0" w:type="auto"/>
            <w:tcBorders>
              <w:tl2br w:val="nil"/>
              <w:tr2bl w:val="nil"/>
            </w:tcBorders>
            <w:vAlign w:val="center"/>
          </w:tcPr>
          <w:p w14:paraId="0AA916AA">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5ADDD1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155E83FD">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w:t>
            </w:r>
          </w:p>
        </w:tc>
        <w:tc>
          <w:tcPr>
            <w:tcW w:w="1397" w:type="dxa"/>
            <w:tcBorders>
              <w:tl2br w:val="nil"/>
              <w:tr2bl w:val="nil"/>
            </w:tcBorders>
            <w:shd w:val="clear" w:color="auto" w:fill="auto"/>
            <w:vAlign w:val="center"/>
          </w:tcPr>
          <w:p w14:paraId="2176C0D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四级混凝反应器</w:t>
            </w:r>
          </w:p>
        </w:tc>
        <w:tc>
          <w:tcPr>
            <w:tcW w:w="0" w:type="auto"/>
            <w:tcBorders>
              <w:tl2br w:val="nil"/>
              <w:tr2bl w:val="nil"/>
            </w:tcBorders>
            <w:shd w:val="clear" w:color="auto" w:fill="auto"/>
            <w:vAlign w:val="center"/>
          </w:tcPr>
          <w:p w14:paraId="4A55723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N=1.5kW</w:t>
            </w:r>
          </w:p>
        </w:tc>
        <w:tc>
          <w:tcPr>
            <w:tcW w:w="0" w:type="auto"/>
            <w:tcBorders>
              <w:tl2br w:val="nil"/>
              <w:tr2bl w:val="nil"/>
            </w:tcBorders>
            <w:shd w:val="clear" w:color="auto" w:fill="auto"/>
            <w:vAlign w:val="center"/>
          </w:tcPr>
          <w:p w14:paraId="45B0B6C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套</w:t>
            </w:r>
          </w:p>
        </w:tc>
        <w:tc>
          <w:tcPr>
            <w:tcW w:w="0" w:type="auto"/>
            <w:tcBorders>
              <w:tl2br w:val="nil"/>
              <w:tr2bl w:val="nil"/>
            </w:tcBorders>
            <w:shd w:val="clear" w:color="auto" w:fill="auto"/>
            <w:vAlign w:val="center"/>
          </w:tcPr>
          <w:p w14:paraId="123BB0D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vertAlign w:val="baseline"/>
                <w:lang w:val="en-US" w:eastAsia="zh-CN"/>
              </w:rPr>
              <w:t>0</w:t>
            </w:r>
          </w:p>
        </w:tc>
        <w:tc>
          <w:tcPr>
            <w:tcW w:w="0" w:type="auto"/>
            <w:tcBorders>
              <w:tl2br w:val="nil"/>
              <w:tr2bl w:val="nil"/>
            </w:tcBorders>
            <w:shd w:val="clear" w:color="auto" w:fill="auto"/>
            <w:vAlign w:val="center"/>
          </w:tcPr>
          <w:p w14:paraId="5AF5AF5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0" w:type="auto"/>
            <w:tcBorders>
              <w:tl2br w:val="nil"/>
              <w:tr2bl w:val="nil"/>
            </w:tcBorders>
            <w:vAlign w:val="center"/>
          </w:tcPr>
          <w:p w14:paraId="293111F8">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4227A9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297B5443">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9</w:t>
            </w:r>
          </w:p>
        </w:tc>
        <w:tc>
          <w:tcPr>
            <w:tcW w:w="1397" w:type="dxa"/>
            <w:tcBorders>
              <w:tl2br w:val="nil"/>
              <w:tr2bl w:val="nil"/>
            </w:tcBorders>
            <w:shd w:val="clear" w:color="auto" w:fill="auto"/>
            <w:vAlign w:val="center"/>
          </w:tcPr>
          <w:p w14:paraId="024DCD1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均流式磁分离沉淀系统</w:t>
            </w:r>
          </w:p>
        </w:tc>
        <w:tc>
          <w:tcPr>
            <w:tcW w:w="0" w:type="auto"/>
            <w:tcBorders>
              <w:tl2br w:val="nil"/>
              <w:tr2bl w:val="nil"/>
            </w:tcBorders>
            <w:shd w:val="clear" w:color="auto" w:fill="auto"/>
            <w:vAlign w:val="center"/>
          </w:tcPr>
          <w:p w14:paraId="56EE4F8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N=4.58kW</w:t>
            </w:r>
          </w:p>
        </w:tc>
        <w:tc>
          <w:tcPr>
            <w:tcW w:w="0" w:type="auto"/>
            <w:tcBorders>
              <w:tl2br w:val="nil"/>
              <w:tr2bl w:val="nil"/>
            </w:tcBorders>
            <w:shd w:val="clear" w:color="auto" w:fill="auto"/>
            <w:vAlign w:val="center"/>
          </w:tcPr>
          <w:p w14:paraId="1AC0F5A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套</w:t>
            </w:r>
          </w:p>
        </w:tc>
        <w:tc>
          <w:tcPr>
            <w:tcW w:w="0" w:type="auto"/>
            <w:tcBorders>
              <w:tl2br w:val="nil"/>
              <w:tr2bl w:val="nil"/>
            </w:tcBorders>
            <w:shd w:val="clear" w:color="auto" w:fill="auto"/>
            <w:vAlign w:val="center"/>
          </w:tcPr>
          <w:p w14:paraId="16335624">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vertAlign w:val="baseline"/>
                <w:lang w:val="en-US" w:eastAsia="zh-CN"/>
              </w:rPr>
              <w:t>0</w:t>
            </w:r>
          </w:p>
        </w:tc>
        <w:tc>
          <w:tcPr>
            <w:tcW w:w="0" w:type="auto"/>
            <w:tcBorders>
              <w:tl2br w:val="nil"/>
              <w:tr2bl w:val="nil"/>
            </w:tcBorders>
            <w:shd w:val="clear" w:color="auto" w:fill="auto"/>
            <w:vAlign w:val="center"/>
          </w:tcPr>
          <w:p w14:paraId="02DC7B0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0" w:type="auto"/>
            <w:tcBorders>
              <w:tl2br w:val="nil"/>
              <w:tr2bl w:val="nil"/>
            </w:tcBorders>
            <w:vAlign w:val="center"/>
          </w:tcPr>
          <w:p w14:paraId="559236BE">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469562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41939DED">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w:t>
            </w:r>
          </w:p>
        </w:tc>
        <w:tc>
          <w:tcPr>
            <w:tcW w:w="1397" w:type="dxa"/>
            <w:tcBorders>
              <w:tl2br w:val="nil"/>
              <w:tr2bl w:val="nil"/>
            </w:tcBorders>
            <w:shd w:val="clear" w:color="auto" w:fill="auto"/>
            <w:vAlign w:val="center"/>
          </w:tcPr>
          <w:p w14:paraId="5811050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磁回收系统</w:t>
            </w:r>
          </w:p>
        </w:tc>
        <w:tc>
          <w:tcPr>
            <w:tcW w:w="0" w:type="auto"/>
            <w:tcBorders>
              <w:tl2br w:val="nil"/>
              <w:tr2bl w:val="nil"/>
            </w:tcBorders>
            <w:shd w:val="clear" w:color="auto" w:fill="auto"/>
            <w:vAlign w:val="center"/>
          </w:tcPr>
          <w:p w14:paraId="2CF53EF4">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MagR-10B, N=2.75kW</w:t>
            </w:r>
          </w:p>
        </w:tc>
        <w:tc>
          <w:tcPr>
            <w:tcW w:w="0" w:type="auto"/>
            <w:tcBorders>
              <w:tl2br w:val="nil"/>
              <w:tr2bl w:val="nil"/>
            </w:tcBorders>
            <w:shd w:val="clear" w:color="auto" w:fill="auto"/>
            <w:vAlign w:val="center"/>
          </w:tcPr>
          <w:p w14:paraId="3D9A74A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套</w:t>
            </w:r>
          </w:p>
        </w:tc>
        <w:tc>
          <w:tcPr>
            <w:tcW w:w="0" w:type="auto"/>
            <w:tcBorders>
              <w:tl2br w:val="nil"/>
              <w:tr2bl w:val="nil"/>
            </w:tcBorders>
            <w:shd w:val="clear" w:color="auto" w:fill="auto"/>
            <w:vAlign w:val="center"/>
          </w:tcPr>
          <w:p w14:paraId="546A028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vertAlign w:val="baseline"/>
                <w:lang w:val="en-US" w:eastAsia="zh-CN"/>
              </w:rPr>
              <w:t>0</w:t>
            </w:r>
          </w:p>
        </w:tc>
        <w:tc>
          <w:tcPr>
            <w:tcW w:w="0" w:type="auto"/>
            <w:tcBorders>
              <w:tl2br w:val="nil"/>
              <w:tr2bl w:val="nil"/>
            </w:tcBorders>
            <w:shd w:val="clear" w:color="auto" w:fill="auto"/>
            <w:vAlign w:val="center"/>
          </w:tcPr>
          <w:p w14:paraId="4F62536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0" w:type="auto"/>
            <w:tcBorders>
              <w:tl2br w:val="nil"/>
              <w:tr2bl w:val="nil"/>
            </w:tcBorders>
            <w:vAlign w:val="center"/>
          </w:tcPr>
          <w:p w14:paraId="14139DD9">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200660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70AA0FFF">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11</w:t>
            </w:r>
          </w:p>
        </w:tc>
        <w:tc>
          <w:tcPr>
            <w:tcW w:w="1397" w:type="dxa"/>
            <w:tcBorders>
              <w:tl2br w:val="nil"/>
              <w:tr2bl w:val="nil"/>
            </w:tcBorders>
            <w:shd w:val="clear" w:color="auto" w:fill="auto"/>
            <w:vAlign w:val="center"/>
          </w:tcPr>
          <w:p w14:paraId="6AA9353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除氟剂加药机</w:t>
            </w:r>
          </w:p>
        </w:tc>
        <w:tc>
          <w:tcPr>
            <w:tcW w:w="0" w:type="auto"/>
            <w:tcBorders>
              <w:tl2br w:val="nil"/>
              <w:tr2bl w:val="nil"/>
            </w:tcBorders>
            <w:shd w:val="clear" w:color="auto" w:fill="auto"/>
            <w:vAlign w:val="center"/>
          </w:tcPr>
          <w:p w14:paraId="516ABBF4">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JYF-130C,N=4.15kW</w:t>
            </w:r>
          </w:p>
        </w:tc>
        <w:tc>
          <w:tcPr>
            <w:tcW w:w="0" w:type="auto"/>
            <w:tcBorders>
              <w:tl2br w:val="nil"/>
              <w:tr2bl w:val="nil"/>
            </w:tcBorders>
            <w:shd w:val="clear" w:color="auto" w:fill="auto"/>
            <w:vAlign w:val="center"/>
          </w:tcPr>
          <w:p w14:paraId="0A7D1DD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套</w:t>
            </w:r>
          </w:p>
        </w:tc>
        <w:tc>
          <w:tcPr>
            <w:tcW w:w="0" w:type="auto"/>
            <w:tcBorders>
              <w:tl2br w:val="nil"/>
              <w:tr2bl w:val="nil"/>
            </w:tcBorders>
            <w:shd w:val="clear" w:color="auto" w:fill="auto"/>
            <w:vAlign w:val="center"/>
          </w:tcPr>
          <w:p w14:paraId="75C79CA6">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vertAlign w:val="baseline"/>
                <w:lang w:val="en-US" w:eastAsia="zh-CN"/>
              </w:rPr>
              <w:t>0</w:t>
            </w:r>
          </w:p>
        </w:tc>
        <w:tc>
          <w:tcPr>
            <w:tcW w:w="0" w:type="auto"/>
            <w:tcBorders>
              <w:tl2br w:val="nil"/>
              <w:tr2bl w:val="nil"/>
            </w:tcBorders>
            <w:shd w:val="clear" w:color="auto" w:fill="auto"/>
            <w:vAlign w:val="center"/>
          </w:tcPr>
          <w:p w14:paraId="5B51BF9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0" w:type="auto"/>
            <w:tcBorders>
              <w:tl2br w:val="nil"/>
              <w:tr2bl w:val="nil"/>
            </w:tcBorders>
            <w:vAlign w:val="center"/>
          </w:tcPr>
          <w:p w14:paraId="3446E773">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6FAED1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2D397DE6">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12</w:t>
            </w:r>
          </w:p>
        </w:tc>
        <w:tc>
          <w:tcPr>
            <w:tcW w:w="1397" w:type="dxa"/>
            <w:tcBorders>
              <w:tl2br w:val="nil"/>
              <w:tr2bl w:val="nil"/>
            </w:tcBorders>
            <w:shd w:val="clear" w:color="auto" w:fill="auto"/>
            <w:vAlign w:val="center"/>
          </w:tcPr>
          <w:p w14:paraId="268C5A66">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PAM加药机</w:t>
            </w:r>
          </w:p>
        </w:tc>
        <w:tc>
          <w:tcPr>
            <w:tcW w:w="0" w:type="auto"/>
            <w:tcBorders>
              <w:tl2br w:val="nil"/>
              <w:tr2bl w:val="nil"/>
            </w:tcBorders>
            <w:shd w:val="clear" w:color="auto" w:fill="auto"/>
            <w:vAlign w:val="center"/>
          </w:tcPr>
          <w:p w14:paraId="66A96DC7">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JYM-1250C,N=3.14kW</w:t>
            </w:r>
          </w:p>
        </w:tc>
        <w:tc>
          <w:tcPr>
            <w:tcW w:w="0" w:type="auto"/>
            <w:tcBorders>
              <w:tl2br w:val="nil"/>
              <w:tr2bl w:val="nil"/>
            </w:tcBorders>
            <w:shd w:val="clear" w:color="auto" w:fill="auto"/>
            <w:vAlign w:val="center"/>
          </w:tcPr>
          <w:p w14:paraId="01626D3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套</w:t>
            </w:r>
          </w:p>
        </w:tc>
        <w:tc>
          <w:tcPr>
            <w:tcW w:w="0" w:type="auto"/>
            <w:tcBorders>
              <w:tl2br w:val="nil"/>
              <w:tr2bl w:val="nil"/>
            </w:tcBorders>
            <w:shd w:val="clear" w:color="auto" w:fill="auto"/>
            <w:vAlign w:val="center"/>
          </w:tcPr>
          <w:p w14:paraId="01B7AB68">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vertAlign w:val="baseline"/>
                <w:lang w:val="en-US" w:eastAsia="zh-CN"/>
              </w:rPr>
              <w:t>0</w:t>
            </w:r>
          </w:p>
        </w:tc>
        <w:tc>
          <w:tcPr>
            <w:tcW w:w="0" w:type="auto"/>
            <w:tcBorders>
              <w:tl2br w:val="nil"/>
              <w:tr2bl w:val="nil"/>
            </w:tcBorders>
            <w:shd w:val="clear" w:color="auto" w:fill="auto"/>
            <w:vAlign w:val="center"/>
          </w:tcPr>
          <w:p w14:paraId="11B7123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0" w:type="auto"/>
            <w:tcBorders>
              <w:tl2br w:val="nil"/>
              <w:tr2bl w:val="nil"/>
            </w:tcBorders>
            <w:vAlign w:val="center"/>
          </w:tcPr>
          <w:p w14:paraId="62059F67">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162C5F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35C66655">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13</w:t>
            </w:r>
          </w:p>
        </w:tc>
        <w:tc>
          <w:tcPr>
            <w:tcW w:w="1397" w:type="dxa"/>
            <w:tcBorders>
              <w:tl2br w:val="nil"/>
              <w:tr2bl w:val="nil"/>
            </w:tcBorders>
            <w:shd w:val="clear" w:color="auto" w:fill="auto"/>
            <w:vAlign w:val="center"/>
          </w:tcPr>
          <w:p w14:paraId="6298C58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液碱加药机</w:t>
            </w:r>
          </w:p>
        </w:tc>
        <w:tc>
          <w:tcPr>
            <w:tcW w:w="0" w:type="auto"/>
            <w:tcBorders>
              <w:tl2br w:val="nil"/>
              <w:tr2bl w:val="nil"/>
            </w:tcBorders>
            <w:shd w:val="clear" w:color="auto" w:fill="auto"/>
            <w:vAlign w:val="center"/>
          </w:tcPr>
          <w:p w14:paraId="47517CA6">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JYA-700C,N=4.15kW</w:t>
            </w:r>
          </w:p>
        </w:tc>
        <w:tc>
          <w:tcPr>
            <w:tcW w:w="0" w:type="auto"/>
            <w:tcBorders>
              <w:tl2br w:val="nil"/>
              <w:tr2bl w:val="nil"/>
            </w:tcBorders>
            <w:shd w:val="clear" w:color="auto" w:fill="auto"/>
            <w:vAlign w:val="center"/>
          </w:tcPr>
          <w:p w14:paraId="1ED9D97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套</w:t>
            </w:r>
          </w:p>
        </w:tc>
        <w:tc>
          <w:tcPr>
            <w:tcW w:w="0" w:type="auto"/>
            <w:tcBorders>
              <w:tl2br w:val="nil"/>
              <w:tr2bl w:val="nil"/>
            </w:tcBorders>
            <w:shd w:val="clear" w:color="auto" w:fill="auto"/>
            <w:vAlign w:val="center"/>
          </w:tcPr>
          <w:p w14:paraId="40ACF014">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vertAlign w:val="baseline"/>
                <w:lang w:val="en-US" w:eastAsia="zh-CN"/>
              </w:rPr>
              <w:t>0</w:t>
            </w:r>
          </w:p>
        </w:tc>
        <w:tc>
          <w:tcPr>
            <w:tcW w:w="0" w:type="auto"/>
            <w:tcBorders>
              <w:tl2br w:val="nil"/>
              <w:tr2bl w:val="nil"/>
            </w:tcBorders>
            <w:shd w:val="clear" w:color="auto" w:fill="auto"/>
            <w:vAlign w:val="center"/>
          </w:tcPr>
          <w:p w14:paraId="21DCD31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0" w:type="auto"/>
            <w:tcBorders>
              <w:tl2br w:val="nil"/>
              <w:tr2bl w:val="nil"/>
            </w:tcBorders>
            <w:vAlign w:val="center"/>
          </w:tcPr>
          <w:p w14:paraId="3E1B72CC">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51BB9F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41924749">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w:t>
            </w:r>
          </w:p>
        </w:tc>
        <w:tc>
          <w:tcPr>
            <w:tcW w:w="1397" w:type="dxa"/>
            <w:tcBorders>
              <w:tl2br w:val="nil"/>
              <w:tr2bl w:val="nil"/>
            </w:tcBorders>
            <w:shd w:val="clear" w:color="auto" w:fill="auto"/>
            <w:vAlign w:val="center"/>
          </w:tcPr>
          <w:p w14:paraId="77B207A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箱体</w:t>
            </w:r>
          </w:p>
        </w:tc>
        <w:tc>
          <w:tcPr>
            <w:tcW w:w="0" w:type="auto"/>
            <w:tcBorders>
              <w:tl2br w:val="nil"/>
              <w:tr2bl w:val="nil"/>
            </w:tcBorders>
            <w:shd w:val="clear" w:color="auto" w:fill="auto"/>
            <w:vAlign w:val="center"/>
          </w:tcPr>
          <w:p w14:paraId="11109C4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p>
        </w:tc>
        <w:tc>
          <w:tcPr>
            <w:tcW w:w="0" w:type="auto"/>
            <w:tcBorders>
              <w:tl2br w:val="nil"/>
              <w:tr2bl w:val="nil"/>
            </w:tcBorders>
            <w:shd w:val="clear" w:color="auto" w:fill="auto"/>
            <w:vAlign w:val="center"/>
          </w:tcPr>
          <w:p w14:paraId="2D7510B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0" w:type="auto"/>
            <w:tcBorders>
              <w:tl2br w:val="nil"/>
              <w:tr2bl w:val="nil"/>
            </w:tcBorders>
            <w:shd w:val="clear" w:color="auto" w:fill="auto"/>
            <w:vAlign w:val="center"/>
          </w:tcPr>
          <w:p w14:paraId="48AC7C6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vertAlign w:val="baseline"/>
                <w:lang w:val="en-US" w:eastAsia="zh-CN"/>
              </w:rPr>
              <w:t>0</w:t>
            </w:r>
          </w:p>
        </w:tc>
        <w:tc>
          <w:tcPr>
            <w:tcW w:w="0" w:type="auto"/>
            <w:tcBorders>
              <w:tl2br w:val="nil"/>
              <w:tr2bl w:val="nil"/>
            </w:tcBorders>
            <w:shd w:val="clear" w:color="auto" w:fill="auto"/>
            <w:vAlign w:val="center"/>
          </w:tcPr>
          <w:p w14:paraId="2156D41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0" w:type="auto"/>
            <w:tcBorders>
              <w:tl2br w:val="nil"/>
              <w:tr2bl w:val="nil"/>
            </w:tcBorders>
            <w:vAlign w:val="center"/>
          </w:tcPr>
          <w:p w14:paraId="75F0AED2">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vertAlign w:val="baseline"/>
                <w:lang w:val="en-US" w:eastAsia="zh-CN"/>
              </w:rPr>
              <w:t>/</w:t>
            </w:r>
          </w:p>
        </w:tc>
      </w:tr>
      <w:tr w14:paraId="3C06F0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012433C3">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w:t>
            </w:r>
          </w:p>
        </w:tc>
        <w:tc>
          <w:tcPr>
            <w:tcW w:w="1397" w:type="dxa"/>
            <w:tcBorders>
              <w:tl2br w:val="nil"/>
              <w:tr2bl w:val="nil"/>
            </w:tcBorders>
            <w:shd w:val="clear" w:color="auto" w:fill="auto"/>
            <w:vAlign w:val="center"/>
          </w:tcPr>
          <w:p w14:paraId="28DD805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污泥中转泵</w:t>
            </w:r>
          </w:p>
        </w:tc>
        <w:tc>
          <w:tcPr>
            <w:tcW w:w="0" w:type="auto"/>
            <w:tcBorders>
              <w:tl2br w:val="nil"/>
              <w:tr2bl w:val="nil"/>
            </w:tcBorders>
            <w:shd w:val="clear" w:color="auto" w:fill="auto"/>
            <w:vAlign w:val="center"/>
          </w:tcPr>
          <w:p w14:paraId="7D0A980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N=3kW</w:t>
            </w:r>
          </w:p>
        </w:tc>
        <w:tc>
          <w:tcPr>
            <w:tcW w:w="0" w:type="auto"/>
            <w:tcBorders>
              <w:tl2br w:val="nil"/>
              <w:tr2bl w:val="nil"/>
            </w:tcBorders>
            <w:shd w:val="clear" w:color="auto" w:fill="auto"/>
            <w:vAlign w:val="center"/>
          </w:tcPr>
          <w:p w14:paraId="4231875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0" w:type="auto"/>
            <w:tcBorders>
              <w:tl2br w:val="nil"/>
              <w:tr2bl w:val="nil"/>
            </w:tcBorders>
            <w:shd w:val="clear" w:color="auto" w:fill="auto"/>
            <w:vAlign w:val="center"/>
          </w:tcPr>
          <w:p w14:paraId="05E91E5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vertAlign w:val="baseline"/>
                <w:lang w:val="en-US" w:eastAsia="zh-CN"/>
              </w:rPr>
              <w:t>0</w:t>
            </w:r>
          </w:p>
        </w:tc>
        <w:tc>
          <w:tcPr>
            <w:tcW w:w="0" w:type="auto"/>
            <w:tcBorders>
              <w:tl2br w:val="nil"/>
              <w:tr2bl w:val="nil"/>
            </w:tcBorders>
            <w:shd w:val="clear" w:color="auto" w:fill="auto"/>
            <w:vAlign w:val="center"/>
          </w:tcPr>
          <w:p w14:paraId="2D4A3DA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0" w:type="auto"/>
            <w:tcBorders>
              <w:tl2br w:val="nil"/>
              <w:tr2bl w:val="nil"/>
            </w:tcBorders>
            <w:vAlign w:val="center"/>
          </w:tcPr>
          <w:p w14:paraId="12C13AE2">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一用一备</w:t>
            </w:r>
          </w:p>
        </w:tc>
      </w:tr>
      <w:tr w14:paraId="2FAA03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753C0B62">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w:t>
            </w:r>
          </w:p>
        </w:tc>
        <w:tc>
          <w:tcPr>
            <w:tcW w:w="1397" w:type="dxa"/>
            <w:tcBorders>
              <w:tl2br w:val="nil"/>
              <w:tr2bl w:val="nil"/>
            </w:tcBorders>
            <w:shd w:val="clear" w:color="auto" w:fill="auto"/>
            <w:vAlign w:val="center"/>
          </w:tcPr>
          <w:p w14:paraId="0898614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电仪系统</w:t>
            </w:r>
          </w:p>
        </w:tc>
        <w:tc>
          <w:tcPr>
            <w:tcW w:w="0" w:type="auto"/>
            <w:tcBorders>
              <w:tl2br w:val="nil"/>
              <w:tr2bl w:val="nil"/>
            </w:tcBorders>
            <w:shd w:val="clear" w:color="auto" w:fill="auto"/>
            <w:vAlign w:val="center"/>
          </w:tcPr>
          <w:p w14:paraId="5BA1DE5B">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p>
        </w:tc>
        <w:tc>
          <w:tcPr>
            <w:tcW w:w="0" w:type="auto"/>
            <w:tcBorders>
              <w:tl2br w:val="nil"/>
              <w:tr2bl w:val="nil"/>
            </w:tcBorders>
            <w:shd w:val="clear" w:color="auto" w:fill="auto"/>
            <w:vAlign w:val="center"/>
          </w:tcPr>
          <w:p w14:paraId="120AB3B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批</w:t>
            </w:r>
          </w:p>
        </w:tc>
        <w:tc>
          <w:tcPr>
            <w:tcW w:w="0" w:type="auto"/>
            <w:tcBorders>
              <w:tl2br w:val="nil"/>
              <w:tr2bl w:val="nil"/>
            </w:tcBorders>
            <w:shd w:val="clear" w:color="auto" w:fill="auto"/>
            <w:vAlign w:val="center"/>
          </w:tcPr>
          <w:p w14:paraId="074686F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vertAlign w:val="baseline"/>
                <w:lang w:val="en-US" w:eastAsia="zh-CN"/>
              </w:rPr>
              <w:t>0</w:t>
            </w:r>
          </w:p>
        </w:tc>
        <w:tc>
          <w:tcPr>
            <w:tcW w:w="0" w:type="auto"/>
            <w:tcBorders>
              <w:tl2br w:val="nil"/>
              <w:tr2bl w:val="nil"/>
            </w:tcBorders>
            <w:shd w:val="clear" w:color="auto" w:fill="auto"/>
            <w:vAlign w:val="center"/>
          </w:tcPr>
          <w:p w14:paraId="69D9C5D2">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0" w:type="auto"/>
            <w:tcBorders>
              <w:tl2br w:val="nil"/>
              <w:tr2bl w:val="nil"/>
            </w:tcBorders>
            <w:vAlign w:val="center"/>
          </w:tcPr>
          <w:p w14:paraId="0584D1E5">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vertAlign w:val="baseline"/>
                <w:lang w:val="en-US" w:eastAsia="zh-CN"/>
              </w:rPr>
              <w:t>/</w:t>
            </w:r>
          </w:p>
        </w:tc>
      </w:tr>
      <w:tr w14:paraId="32E7B2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5D32FB19">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w:t>
            </w:r>
          </w:p>
        </w:tc>
        <w:tc>
          <w:tcPr>
            <w:tcW w:w="1397" w:type="dxa"/>
            <w:tcBorders>
              <w:tl2br w:val="nil"/>
              <w:tr2bl w:val="nil"/>
            </w:tcBorders>
            <w:shd w:val="clear" w:color="auto" w:fill="auto"/>
            <w:vAlign w:val="center"/>
          </w:tcPr>
          <w:p w14:paraId="74750C1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管网管件</w:t>
            </w:r>
          </w:p>
        </w:tc>
        <w:tc>
          <w:tcPr>
            <w:tcW w:w="0" w:type="auto"/>
            <w:tcBorders>
              <w:tl2br w:val="nil"/>
              <w:tr2bl w:val="nil"/>
            </w:tcBorders>
            <w:shd w:val="clear" w:color="auto" w:fill="auto"/>
            <w:vAlign w:val="center"/>
          </w:tcPr>
          <w:p w14:paraId="35702A43">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p>
        </w:tc>
        <w:tc>
          <w:tcPr>
            <w:tcW w:w="0" w:type="auto"/>
            <w:tcBorders>
              <w:tl2br w:val="nil"/>
              <w:tr2bl w:val="nil"/>
            </w:tcBorders>
            <w:shd w:val="clear" w:color="auto" w:fill="auto"/>
            <w:vAlign w:val="center"/>
          </w:tcPr>
          <w:p w14:paraId="6E4B835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批</w:t>
            </w:r>
          </w:p>
        </w:tc>
        <w:tc>
          <w:tcPr>
            <w:tcW w:w="0" w:type="auto"/>
            <w:tcBorders>
              <w:tl2br w:val="nil"/>
              <w:tr2bl w:val="nil"/>
            </w:tcBorders>
            <w:shd w:val="clear" w:color="auto" w:fill="auto"/>
            <w:vAlign w:val="center"/>
          </w:tcPr>
          <w:p w14:paraId="6021B94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vertAlign w:val="baseline"/>
                <w:lang w:val="en-US" w:eastAsia="zh-CN"/>
              </w:rPr>
              <w:t>0</w:t>
            </w:r>
          </w:p>
        </w:tc>
        <w:tc>
          <w:tcPr>
            <w:tcW w:w="0" w:type="auto"/>
            <w:tcBorders>
              <w:tl2br w:val="nil"/>
              <w:tr2bl w:val="nil"/>
            </w:tcBorders>
            <w:shd w:val="clear" w:color="auto" w:fill="auto"/>
            <w:vAlign w:val="center"/>
          </w:tcPr>
          <w:p w14:paraId="1FD62889">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0" w:type="auto"/>
            <w:tcBorders>
              <w:tl2br w:val="nil"/>
              <w:tr2bl w:val="nil"/>
            </w:tcBorders>
            <w:vAlign w:val="center"/>
          </w:tcPr>
          <w:p w14:paraId="52D57FC9">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vertAlign w:val="baseline"/>
                <w:lang w:val="en-US" w:eastAsia="zh-CN"/>
              </w:rPr>
              <w:t>/</w:t>
            </w:r>
          </w:p>
        </w:tc>
      </w:tr>
      <w:tr w14:paraId="0C5A01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73FD8A57">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w:t>
            </w:r>
          </w:p>
        </w:tc>
        <w:tc>
          <w:tcPr>
            <w:tcW w:w="1397" w:type="dxa"/>
            <w:tcBorders>
              <w:tl2br w:val="nil"/>
              <w:tr2bl w:val="nil"/>
            </w:tcBorders>
            <w:shd w:val="clear" w:color="auto" w:fill="auto"/>
            <w:vAlign w:val="center"/>
          </w:tcPr>
          <w:p w14:paraId="78AB6EC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供电系统</w:t>
            </w:r>
          </w:p>
        </w:tc>
        <w:tc>
          <w:tcPr>
            <w:tcW w:w="0" w:type="auto"/>
            <w:tcBorders>
              <w:tl2br w:val="nil"/>
              <w:tr2bl w:val="nil"/>
            </w:tcBorders>
            <w:shd w:val="clear" w:color="auto" w:fill="auto"/>
            <w:vAlign w:val="center"/>
          </w:tcPr>
          <w:p w14:paraId="695927A5">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p>
        </w:tc>
        <w:tc>
          <w:tcPr>
            <w:tcW w:w="0" w:type="auto"/>
            <w:tcBorders>
              <w:tl2br w:val="nil"/>
              <w:tr2bl w:val="nil"/>
            </w:tcBorders>
            <w:shd w:val="clear" w:color="auto" w:fill="auto"/>
            <w:vAlign w:val="center"/>
          </w:tcPr>
          <w:p w14:paraId="350F276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批</w:t>
            </w:r>
          </w:p>
        </w:tc>
        <w:tc>
          <w:tcPr>
            <w:tcW w:w="0" w:type="auto"/>
            <w:tcBorders>
              <w:tl2br w:val="nil"/>
              <w:tr2bl w:val="nil"/>
            </w:tcBorders>
            <w:shd w:val="clear" w:color="auto" w:fill="auto"/>
            <w:vAlign w:val="center"/>
          </w:tcPr>
          <w:p w14:paraId="07FD73C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vertAlign w:val="baseline"/>
                <w:lang w:val="en-US" w:eastAsia="zh-CN"/>
              </w:rPr>
              <w:t>0</w:t>
            </w:r>
          </w:p>
        </w:tc>
        <w:tc>
          <w:tcPr>
            <w:tcW w:w="0" w:type="auto"/>
            <w:tcBorders>
              <w:tl2br w:val="nil"/>
              <w:tr2bl w:val="nil"/>
            </w:tcBorders>
            <w:shd w:val="clear" w:color="auto" w:fill="auto"/>
            <w:vAlign w:val="center"/>
          </w:tcPr>
          <w:p w14:paraId="51814985">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0" w:type="auto"/>
            <w:tcBorders>
              <w:tl2br w:val="nil"/>
              <w:tr2bl w:val="nil"/>
            </w:tcBorders>
            <w:vAlign w:val="center"/>
          </w:tcPr>
          <w:p w14:paraId="4864EC55">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vertAlign w:val="baseline"/>
                <w:lang w:val="en-US" w:eastAsia="zh-CN"/>
              </w:rPr>
              <w:t>/</w:t>
            </w:r>
          </w:p>
        </w:tc>
      </w:tr>
      <w:tr w14:paraId="6E697C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5B5D6059">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w:t>
            </w:r>
          </w:p>
        </w:tc>
        <w:tc>
          <w:tcPr>
            <w:tcW w:w="1397" w:type="dxa"/>
            <w:tcBorders>
              <w:tl2br w:val="nil"/>
              <w:tr2bl w:val="nil"/>
            </w:tcBorders>
            <w:shd w:val="clear" w:color="auto" w:fill="auto"/>
            <w:vAlign w:val="center"/>
          </w:tcPr>
          <w:p w14:paraId="2E7721C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设备基础、平台</w:t>
            </w:r>
          </w:p>
        </w:tc>
        <w:tc>
          <w:tcPr>
            <w:tcW w:w="0" w:type="auto"/>
            <w:tcBorders>
              <w:tl2br w:val="nil"/>
              <w:tr2bl w:val="nil"/>
            </w:tcBorders>
            <w:shd w:val="clear" w:color="auto" w:fill="auto"/>
            <w:vAlign w:val="center"/>
          </w:tcPr>
          <w:p w14:paraId="09328575">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p>
        </w:tc>
        <w:tc>
          <w:tcPr>
            <w:tcW w:w="0" w:type="auto"/>
            <w:tcBorders>
              <w:tl2br w:val="nil"/>
              <w:tr2bl w:val="nil"/>
            </w:tcBorders>
            <w:shd w:val="clear" w:color="auto" w:fill="auto"/>
            <w:vAlign w:val="center"/>
          </w:tcPr>
          <w:p w14:paraId="7B690DA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批</w:t>
            </w:r>
          </w:p>
        </w:tc>
        <w:tc>
          <w:tcPr>
            <w:tcW w:w="0" w:type="auto"/>
            <w:tcBorders>
              <w:tl2br w:val="nil"/>
              <w:tr2bl w:val="nil"/>
            </w:tcBorders>
            <w:shd w:val="clear" w:color="auto" w:fill="auto"/>
            <w:vAlign w:val="center"/>
          </w:tcPr>
          <w:p w14:paraId="299B1D8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vertAlign w:val="baseline"/>
                <w:lang w:val="en-US" w:eastAsia="zh-CN"/>
              </w:rPr>
              <w:t>0</w:t>
            </w:r>
          </w:p>
        </w:tc>
        <w:tc>
          <w:tcPr>
            <w:tcW w:w="0" w:type="auto"/>
            <w:tcBorders>
              <w:tl2br w:val="nil"/>
              <w:tr2bl w:val="nil"/>
            </w:tcBorders>
            <w:shd w:val="clear" w:color="auto" w:fill="auto"/>
            <w:vAlign w:val="center"/>
          </w:tcPr>
          <w:p w14:paraId="775B7ED8">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0" w:type="auto"/>
            <w:tcBorders>
              <w:tl2br w:val="nil"/>
              <w:tr2bl w:val="nil"/>
            </w:tcBorders>
            <w:vAlign w:val="center"/>
          </w:tcPr>
          <w:p w14:paraId="62235249">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vertAlign w:val="baseline"/>
                <w:lang w:val="en-US" w:eastAsia="zh-CN"/>
              </w:rPr>
              <w:t>/</w:t>
            </w:r>
          </w:p>
        </w:tc>
      </w:tr>
      <w:tr w14:paraId="023733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6B6B3B49">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t>八</w:t>
            </w:r>
          </w:p>
        </w:tc>
        <w:tc>
          <w:tcPr>
            <w:tcW w:w="7836" w:type="dxa"/>
            <w:gridSpan w:val="6"/>
            <w:tcBorders>
              <w:tl2br w:val="nil"/>
              <w:tr2bl w:val="nil"/>
            </w:tcBorders>
            <w:vAlign w:val="center"/>
          </w:tcPr>
          <w:p w14:paraId="27DAE735">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b/>
                <w:bCs/>
                <w:spacing w:val="8"/>
                <w:sz w:val="21"/>
                <w:szCs w:val="21"/>
              </w:rPr>
              <w:t>高效沉淀池</w:t>
            </w:r>
          </w:p>
        </w:tc>
      </w:tr>
      <w:tr w14:paraId="660EA9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shd w:val="clear" w:color="auto" w:fill="auto"/>
            <w:vAlign w:val="center"/>
          </w:tcPr>
          <w:p w14:paraId="773EDEA0">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1</w:t>
            </w:r>
          </w:p>
        </w:tc>
        <w:tc>
          <w:tcPr>
            <w:tcW w:w="1397" w:type="dxa"/>
            <w:tcBorders>
              <w:tl2br w:val="nil"/>
              <w:tr2bl w:val="nil"/>
            </w:tcBorders>
            <w:shd w:val="clear" w:color="auto" w:fill="auto"/>
            <w:vAlign w:val="center"/>
          </w:tcPr>
          <w:p w14:paraId="7C49D1D9">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7"/>
                <w:sz w:val="21"/>
                <w:szCs w:val="21"/>
              </w:rPr>
              <w:t>混凝池搅拌器</w:t>
            </w:r>
          </w:p>
        </w:tc>
        <w:tc>
          <w:tcPr>
            <w:tcW w:w="0" w:type="auto"/>
            <w:tcBorders>
              <w:tl2br w:val="nil"/>
              <w:tr2bl w:val="nil"/>
            </w:tcBorders>
            <w:shd w:val="clear" w:color="auto" w:fill="auto"/>
            <w:vAlign w:val="center"/>
          </w:tcPr>
          <w:p w14:paraId="71AD2E9B">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1"/>
                <w:position w:val="1"/>
                <w:sz w:val="21"/>
                <w:szCs w:val="21"/>
              </w:rPr>
              <w:t>D=1.05m，功率P=2.2</w:t>
            </w:r>
            <w:r>
              <w:rPr>
                <w:rFonts w:hint="eastAsia" w:ascii="宋体" w:hAnsi="宋体" w:eastAsia="宋体" w:cs="宋体"/>
                <w:spacing w:val="1"/>
                <w:position w:val="1"/>
                <w:sz w:val="21"/>
                <w:szCs w:val="21"/>
                <w:lang w:eastAsia="zh-CN"/>
              </w:rPr>
              <w:t>kW</w:t>
            </w:r>
          </w:p>
        </w:tc>
        <w:tc>
          <w:tcPr>
            <w:tcW w:w="0" w:type="auto"/>
            <w:tcBorders>
              <w:tl2br w:val="nil"/>
              <w:tr2bl w:val="nil"/>
            </w:tcBorders>
            <w:shd w:val="clear" w:color="auto" w:fill="auto"/>
            <w:vAlign w:val="center"/>
          </w:tcPr>
          <w:p w14:paraId="49B86503">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台</w:t>
            </w:r>
          </w:p>
        </w:tc>
        <w:tc>
          <w:tcPr>
            <w:tcW w:w="0" w:type="auto"/>
            <w:tcBorders>
              <w:tl2br w:val="nil"/>
              <w:tr2bl w:val="nil"/>
            </w:tcBorders>
            <w:vAlign w:val="center"/>
          </w:tcPr>
          <w:p w14:paraId="1E89A7B1">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36FD966B">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5651A128">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478C7C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shd w:val="clear" w:color="auto" w:fill="auto"/>
            <w:vAlign w:val="center"/>
          </w:tcPr>
          <w:p w14:paraId="14959826">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2</w:t>
            </w:r>
          </w:p>
        </w:tc>
        <w:tc>
          <w:tcPr>
            <w:tcW w:w="1397" w:type="dxa"/>
            <w:tcBorders>
              <w:tl2br w:val="nil"/>
              <w:tr2bl w:val="nil"/>
            </w:tcBorders>
            <w:shd w:val="clear" w:color="auto" w:fill="auto"/>
            <w:vAlign w:val="center"/>
          </w:tcPr>
          <w:p w14:paraId="7F6FA61A">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6"/>
                <w:sz w:val="21"/>
                <w:szCs w:val="21"/>
              </w:rPr>
              <w:t>刮泥机</w:t>
            </w:r>
          </w:p>
        </w:tc>
        <w:tc>
          <w:tcPr>
            <w:tcW w:w="0" w:type="auto"/>
            <w:tcBorders>
              <w:tl2br w:val="nil"/>
              <w:tr2bl w:val="nil"/>
            </w:tcBorders>
            <w:shd w:val="clear" w:color="auto" w:fill="auto"/>
            <w:vAlign w:val="center"/>
          </w:tcPr>
          <w:p w14:paraId="201C96C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2"/>
                <w:sz w:val="21"/>
                <w:szCs w:val="21"/>
              </w:rPr>
              <w:t>池径。5.8m，池深6m，</w:t>
            </w:r>
            <w:r>
              <w:rPr>
                <w:rFonts w:hint="eastAsia" w:ascii="宋体" w:hAnsi="宋体" w:eastAsia="宋体" w:cs="宋体"/>
                <w:spacing w:val="1"/>
                <w:sz w:val="21"/>
                <w:szCs w:val="21"/>
              </w:rPr>
              <w:t>功率1.5</w:t>
            </w:r>
            <w:r>
              <w:rPr>
                <w:rFonts w:hint="eastAsia" w:ascii="宋体" w:hAnsi="宋体" w:eastAsia="宋体" w:cs="宋体"/>
                <w:spacing w:val="1"/>
                <w:sz w:val="21"/>
                <w:szCs w:val="21"/>
                <w:lang w:eastAsia="zh-CN"/>
              </w:rPr>
              <w:t>kW</w:t>
            </w:r>
          </w:p>
        </w:tc>
        <w:tc>
          <w:tcPr>
            <w:tcW w:w="0" w:type="auto"/>
            <w:tcBorders>
              <w:tl2br w:val="nil"/>
              <w:tr2bl w:val="nil"/>
            </w:tcBorders>
            <w:shd w:val="clear" w:color="auto" w:fill="auto"/>
            <w:vAlign w:val="center"/>
          </w:tcPr>
          <w:p w14:paraId="0CDC9AE0">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台</w:t>
            </w:r>
          </w:p>
        </w:tc>
        <w:tc>
          <w:tcPr>
            <w:tcW w:w="0" w:type="auto"/>
            <w:tcBorders>
              <w:tl2br w:val="nil"/>
              <w:tr2bl w:val="nil"/>
            </w:tcBorders>
            <w:vAlign w:val="center"/>
          </w:tcPr>
          <w:p w14:paraId="4FC8A338">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325F1037">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66BFFD29">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6B2E2E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shd w:val="clear" w:color="auto" w:fill="auto"/>
            <w:vAlign w:val="center"/>
          </w:tcPr>
          <w:p w14:paraId="4A51D004">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3</w:t>
            </w:r>
          </w:p>
        </w:tc>
        <w:tc>
          <w:tcPr>
            <w:tcW w:w="1397" w:type="dxa"/>
            <w:tcBorders>
              <w:tl2br w:val="nil"/>
              <w:tr2bl w:val="nil"/>
            </w:tcBorders>
            <w:shd w:val="clear" w:color="auto" w:fill="auto"/>
            <w:vAlign w:val="center"/>
          </w:tcPr>
          <w:p w14:paraId="6A139481">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7"/>
                <w:sz w:val="21"/>
                <w:szCs w:val="21"/>
              </w:rPr>
              <w:t>絮凝池搅拌器</w:t>
            </w:r>
          </w:p>
        </w:tc>
        <w:tc>
          <w:tcPr>
            <w:tcW w:w="0" w:type="auto"/>
            <w:tcBorders>
              <w:tl2br w:val="nil"/>
              <w:tr2bl w:val="nil"/>
            </w:tcBorders>
            <w:shd w:val="clear" w:color="auto" w:fill="auto"/>
            <w:vAlign w:val="center"/>
          </w:tcPr>
          <w:p w14:paraId="0BFC794D">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1"/>
                <w:position w:val="1"/>
                <w:sz w:val="21"/>
                <w:szCs w:val="21"/>
              </w:rPr>
              <w:t>D=1.7m，功率P=4</w:t>
            </w:r>
            <w:r>
              <w:rPr>
                <w:rFonts w:hint="eastAsia" w:ascii="宋体" w:hAnsi="宋体" w:eastAsia="宋体" w:cs="宋体"/>
                <w:spacing w:val="1"/>
                <w:position w:val="1"/>
                <w:sz w:val="21"/>
                <w:szCs w:val="21"/>
                <w:lang w:eastAsia="zh-CN"/>
              </w:rPr>
              <w:t>kW</w:t>
            </w:r>
          </w:p>
        </w:tc>
        <w:tc>
          <w:tcPr>
            <w:tcW w:w="0" w:type="auto"/>
            <w:tcBorders>
              <w:tl2br w:val="nil"/>
              <w:tr2bl w:val="nil"/>
            </w:tcBorders>
            <w:shd w:val="clear" w:color="auto" w:fill="auto"/>
            <w:vAlign w:val="center"/>
          </w:tcPr>
          <w:p w14:paraId="2E9283F6">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台</w:t>
            </w:r>
          </w:p>
        </w:tc>
        <w:tc>
          <w:tcPr>
            <w:tcW w:w="0" w:type="auto"/>
            <w:tcBorders>
              <w:tl2br w:val="nil"/>
              <w:tr2bl w:val="nil"/>
            </w:tcBorders>
            <w:vAlign w:val="center"/>
          </w:tcPr>
          <w:p w14:paraId="459414EC">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0B5B6CCE">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644B313C">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1C5AD7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shd w:val="clear" w:color="auto" w:fill="auto"/>
            <w:vAlign w:val="center"/>
          </w:tcPr>
          <w:p w14:paraId="3992256E">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1"/>
                <w:sz w:val="21"/>
                <w:szCs w:val="21"/>
              </w:rPr>
              <w:t>4</w:t>
            </w:r>
          </w:p>
        </w:tc>
        <w:tc>
          <w:tcPr>
            <w:tcW w:w="1397" w:type="dxa"/>
            <w:tcBorders>
              <w:tl2br w:val="nil"/>
              <w:tr2bl w:val="nil"/>
            </w:tcBorders>
            <w:shd w:val="clear" w:color="auto" w:fill="auto"/>
            <w:vAlign w:val="center"/>
          </w:tcPr>
          <w:p w14:paraId="48D79516">
            <w:pPr>
              <w:keepNext w:val="0"/>
              <w:keepLines w:val="0"/>
              <w:pageBreakBefore w:val="0"/>
              <w:kinsoku/>
              <w:wordWrap/>
              <w:overflowPunct/>
              <w:topLinePunct w:val="0"/>
              <w:autoSpaceDE/>
              <w:autoSpaceDN/>
              <w:bidi w:val="0"/>
              <w:adjustRightInd/>
              <w:snapToGrid w:val="0"/>
              <w:spacing w:line="240" w:lineRule="auto"/>
              <w:ind w:left="0" w:leftChars="0" w:right="104" w:rightChars="0" w:hanging="421"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8"/>
                <w:sz w:val="21"/>
                <w:szCs w:val="21"/>
              </w:rPr>
              <w:t>磁介质混合搅</w:t>
            </w:r>
            <w:r>
              <w:rPr>
                <w:rFonts w:hint="eastAsia" w:ascii="宋体" w:hAnsi="宋体" w:eastAsia="宋体" w:cs="宋体"/>
                <w:spacing w:val="3"/>
                <w:sz w:val="21"/>
                <w:szCs w:val="21"/>
              </w:rPr>
              <w:t>拌机</w:t>
            </w:r>
          </w:p>
        </w:tc>
        <w:tc>
          <w:tcPr>
            <w:tcW w:w="0" w:type="auto"/>
            <w:tcBorders>
              <w:tl2br w:val="nil"/>
              <w:tr2bl w:val="nil"/>
            </w:tcBorders>
            <w:shd w:val="clear" w:color="auto" w:fill="auto"/>
            <w:vAlign w:val="center"/>
          </w:tcPr>
          <w:p w14:paraId="67A658E3">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2"/>
                <w:position w:val="1"/>
                <w:sz w:val="21"/>
                <w:szCs w:val="21"/>
              </w:rPr>
              <w:t>D=1.22m，功率P=3</w:t>
            </w:r>
            <w:r>
              <w:rPr>
                <w:rFonts w:hint="eastAsia" w:ascii="宋体" w:hAnsi="宋体" w:eastAsia="宋体" w:cs="宋体"/>
                <w:spacing w:val="2"/>
                <w:position w:val="1"/>
                <w:sz w:val="21"/>
                <w:szCs w:val="21"/>
                <w:lang w:eastAsia="zh-CN"/>
              </w:rPr>
              <w:t>kW</w:t>
            </w:r>
          </w:p>
        </w:tc>
        <w:tc>
          <w:tcPr>
            <w:tcW w:w="0" w:type="auto"/>
            <w:tcBorders>
              <w:tl2br w:val="nil"/>
              <w:tr2bl w:val="nil"/>
            </w:tcBorders>
            <w:shd w:val="clear" w:color="auto" w:fill="auto"/>
            <w:vAlign w:val="center"/>
          </w:tcPr>
          <w:p w14:paraId="1D358276">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台</w:t>
            </w:r>
          </w:p>
        </w:tc>
        <w:tc>
          <w:tcPr>
            <w:tcW w:w="0" w:type="auto"/>
            <w:tcBorders>
              <w:tl2br w:val="nil"/>
              <w:tr2bl w:val="nil"/>
            </w:tcBorders>
            <w:vAlign w:val="center"/>
          </w:tcPr>
          <w:p w14:paraId="3A9F1794">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3912E548">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69AB863A">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748CC4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shd w:val="clear" w:color="auto" w:fill="auto"/>
            <w:vAlign w:val="center"/>
          </w:tcPr>
          <w:p w14:paraId="5ED3BF91">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5</w:t>
            </w:r>
          </w:p>
        </w:tc>
        <w:tc>
          <w:tcPr>
            <w:tcW w:w="1397" w:type="dxa"/>
            <w:tcBorders>
              <w:tl2br w:val="nil"/>
              <w:tr2bl w:val="nil"/>
            </w:tcBorders>
            <w:shd w:val="clear" w:color="auto" w:fill="auto"/>
            <w:vAlign w:val="center"/>
          </w:tcPr>
          <w:p w14:paraId="4127BC94">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7"/>
                <w:sz w:val="21"/>
                <w:szCs w:val="21"/>
                <w:lang w:eastAsia="zh-CN"/>
              </w:rPr>
              <w:t>混凝土</w:t>
            </w:r>
            <w:r>
              <w:rPr>
                <w:rFonts w:hint="eastAsia" w:ascii="宋体" w:hAnsi="宋体" w:eastAsia="宋体" w:cs="宋体"/>
                <w:spacing w:val="7"/>
                <w:sz w:val="21"/>
                <w:szCs w:val="21"/>
              </w:rPr>
              <w:t>搅拌机</w:t>
            </w:r>
          </w:p>
        </w:tc>
        <w:tc>
          <w:tcPr>
            <w:tcW w:w="0" w:type="auto"/>
            <w:tcBorders>
              <w:tl2br w:val="nil"/>
              <w:tr2bl w:val="nil"/>
            </w:tcBorders>
            <w:shd w:val="clear" w:color="auto" w:fill="auto"/>
            <w:vAlign w:val="center"/>
          </w:tcPr>
          <w:p w14:paraId="3296B43D">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position w:val="2"/>
                <w:sz w:val="21"/>
                <w:szCs w:val="21"/>
              </w:rPr>
              <w:t>L=1m</w:t>
            </w:r>
            <w:r>
              <w:rPr>
                <w:rFonts w:hint="eastAsia" w:ascii="宋体" w:hAnsi="宋体" w:eastAsia="宋体" w:cs="宋体"/>
                <w:position w:val="2"/>
                <w:sz w:val="21"/>
                <w:szCs w:val="21"/>
                <w:lang w:eastAsia="zh-CN"/>
              </w:rPr>
              <w:t>, d</w:t>
            </w:r>
            <w:r>
              <w:rPr>
                <w:rFonts w:hint="eastAsia" w:ascii="宋体" w:hAnsi="宋体" w:eastAsia="宋体" w:cs="宋体"/>
                <w:position w:val="2"/>
                <w:sz w:val="21"/>
                <w:szCs w:val="21"/>
              </w:rPr>
              <w:t>=80mm</w:t>
            </w:r>
          </w:p>
        </w:tc>
        <w:tc>
          <w:tcPr>
            <w:tcW w:w="0" w:type="auto"/>
            <w:tcBorders>
              <w:tl2br w:val="nil"/>
              <w:tr2bl w:val="nil"/>
            </w:tcBorders>
            <w:shd w:val="clear" w:color="auto" w:fill="auto"/>
            <w:vAlign w:val="center"/>
          </w:tcPr>
          <w:p w14:paraId="7C2B2D92">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台</w:t>
            </w:r>
          </w:p>
        </w:tc>
        <w:tc>
          <w:tcPr>
            <w:tcW w:w="0" w:type="auto"/>
            <w:tcBorders>
              <w:tl2br w:val="nil"/>
              <w:tr2bl w:val="nil"/>
            </w:tcBorders>
            <w:vAlign w:val="center"/>
          </w:tcPr>
          <w:p w14:paraId="60BCF590">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678A1494">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1DF07258">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6CE26B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shd w:val="clear" w:color="auto" w:fill="auto"/>
            <w:vAlign w:val="center"/>
          </w:tcPr>
          <w:p w14:paraId="15E97563">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6</w:t>
            </w:r>
          </w:p>
        </w:tc>
        <w:tc>
          <w:tcPr>
            <w:tcW w:w="1397" w:type="dxa"/>
            <w:tcBorders>
              <w:tl2br w:val="nil"/>
              <w:tr2bl w:val="nil"/>
            </w:tcBorders>
            <w:shd w:val="clear" w:color="auto" w:fill="auto"/>
            <w:vAlign w:val="center"/>
          </w:tcPr>
          <w:p w14:paraId="2A304BA1">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5"/>
                <w:sz w:val="21"/>
                <w:szCs w:val="21"/>
              </w:rPr>
              <w:t>高剪切机</w:t>
            </w:r>
          </w:p>
        </w:tc>
        <w:tc>
          <w:tcPr>
            <w:tcW w:w="0" w:type="auto"/>
            <w:tcBorders>
              <w:tl2br w:val="nil"/>
              <w:tr2bl w:val="nil"/>
            </w:tcBorders>
            <w:shd w:val="clear" w:color="auto" w:fill="auto"/>
            <w:vAlign w:val="center"/>
          </w:tcPr>
          <w:p w14:paraId="3B203769">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3"/>
                <w:position w:val="3"/>
                <w:sz w:val="21"/>
                <w:szCs w:val="21"/>
              </w:rPr>
              <w:t>Q=15m</w:t>
            </w:r>
            <w:r>
              <w:rPr>
                <w:rFonts w:hint="eastAsia" w:ascii="宋体" w:hAnsi="宋体" w:eastAsia="宋体" w:cs="宋体"/>
                <w:spacing w:val="-2"/>
                <w:sz w:val="21"/>
                <w:szCs w:val="21"/>
                <w:vertAlign w:val="superscript"/>
                <w:lang w:val="en-US" w:eastAsia="zh-CN"/>
              </w:rPr>
              <w:t>3</w:t>
            </w:r>
            <w:r>
              <w:rPr>
                <w:rFonts w:hint="eastAsia" w:ascii="宋体" w:hAnsi="宋体" w:eastAsia="宋体" w:cs="宋体"/>
                <w:spacing w:val="3"/>
                <w:position w:val="3"/>
                <w:sz w:val="21"/>
                <w:szCs w:val="21"/>
              </w:rPr>
              <w:t>/h</w:t>
            </w:r>
            <w:r>
              <w:rPr>
                <w:rFonts w:hint="eastAsia" w:ascii="宋体" w:hAnsi="宋体" w:eastAsia="宋体" w:cs="宋体"/>
                <w:spacing w:val="3"/>
                <w:position w:val="3"/>
                <w:sz w:val="21"/>
                <w:szCs w:val="21"/>
                <w:lang w:eastAsia="zh-CN"/>
              </w:rPr>
              <w:t>,</w:t>
            </w:r>
            <w:r>
              <w:rPr>
                <w:rFonts w:hint="eastAsia" w:ascii="宋体" w:hAnsi="宋体" w:eastAsia="宋体" w:cs="宋体"/>
                <w:spacing w:val="3"/>
                <w:position w:val="3"/>
                <w:sz w:val="21"/>
                <w:szCs w:val="21"/>
              </w:rPr>
              <w:t>N=0.75m</w:t>
            </w:r>
          </w:p>
        </w:tc>
        <w:tc>
          <w:tcPr>
            <w:tcW w:w="0" w:type="auto"/>
            <w:tcBorders>
              <w:tl2br w:val="nil"/>
              <w:tr2bl w:val="nil"/>
            </w:tcBorders>
            <w:shd w:val="clear" w:color="auto" w:fill="auto"/>
            <w:vAlign w:val="center"/>
          </w:tcPr>
          <w:p w14:paraId="2083EBD4">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台</w:t>
            </w:r>
          </w:p>
        </w:tc>
        <w:tc>
          <w:tcPr>
            <w:tcW w:w="0" w:type="auto"/>
            <w:tcBorders>
              <w:tl2br w:val="nil"/>
              <w:tr2bl w:val="nil"/>
            </w:tcBorders>
            <w:vAlign w:val="center"/>
          </w:tcPr>
          <w:p w14:paraId="34CB0871">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6A32412C">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71337D4F">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1672D8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shd w:val="clear" w:color="auto" w:fill="auto"/>
            <w:vAlign w:val="center"/>
          </w:tcPr>
          <w:p w14:paraId="3F4FC95B">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7</w:t>
            </w:r>
          </w:p>
        </w:tc>
        <w:tc>
          <w:tcPr>
            <w:tcW w:w="1397" w:type="dxa"/>
            <w:tcBorders>
              <w:tl2br w:val="nil"/>
              <w:tr2bl w:val="nil"/>
            </w:tcBorders>
            <w:shd w:val="clear" w:color="auto" w:fill="auto"/>
            <w:vAlign w:val="center"/>
          </w:tcPr>
          <w:p w14:paraId="4768B7BF">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7"/>
                <w:sz w:val="21"/>
                <w:szCs w:val="21"/>
              </w:rPr>
              <w:t>磁分离机</w:t>
            </w:r>
          </w:p>
        </w:tc>
        <w:tc>
          <w:tcPr>
            <w:tcW w:w="0" w:type="auto"/>
            <w:tcBorders>
              <w:tl2br w:val="nil"/>
              <w:tr2bl w:val="nil"/>
            </w:tcBorders>
            <w:shd w:val="clear" w:color="auto" w:fill="auto"/>
            <w:vAlign w:val="center"/>
          </w:tcPr>
          <w:p w14:paraId="231EF2A5">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3"/>
                <w:position w:val="3"/>
                <w:sz w:val="21"/>
                <w:szCs w:val="21"/>
              </w:rPr>
              <w:t>Q=15m</w:t>
            </w:r>
            <w:r>
              <w:rPr>
                <w:rFonts w:hint="eastAsia" w:ascii="宋体" w:hAnsi="宋体" w:eastAsia="宋体" w:cs="宋体"/>
                <w:spacing w:val="-2"/>
                <w:sz w:val="21"/>
                <w:szCs w:val="21"/>
                <w:vertAlign w:val="superscript"/>
                <w:lang w:val="en-US" w:eastAsia="zh-CN"/>
              </w:rPr>
              <w:t>3</w:t>
            </w:r>
            <w:r>
              <w:rPr>
                <w:rFonts w:hint="eastAsia" w:ascii="宋体" w:hAnsi="宋体" w:eastAsia="宋体" w:cs="宋体"/>
                <w:spacing w:val="3"/>
                <w:position w:val="3"/>
                <w:sz w:val="21"/>
                <w:szCs w:val="21"/>
              </w:rPr>
              <w:t>/h</w:t>
            </w:r>
            <w:r>
              <w:rPr>
                <w:rFonts w:hint="eastAsia" w:ascii="宋体" w:hAnsi="宋体" w:eastAsia="宋体" w:cs="宋体"/>
                <w:spacing w:val="3"/>
                <w:position w:val="3"/>
                <w:sz w:val="21"/>
                <w:szCs w:val="21"/>
                <w:lang w:eastAsia="zh-CN"/>
              </w:rPr>
              <w:t>,</w:t>
            </w:r>
            <w:r>
              <w:rPr>
                <w:rFonts w:hint="eastAsia" w:ascii="宋体" w:hAnsi="宋体" w:eastAsia="宋体" w:cs="宋体"/>
                <w:spacing w:val="3"/>
                <w:position w:val="3"/>
                <w:sz w:val="21"/>
                <w:szCs w:val="21"/>
              </w:rPr>
              <w:t>N=2.2m</w:t>
            </w:r>
          </w:p>
        </w:tc>
        <w:tc>
          <w:tcPr>
            <w:tcW w:w="0" w:type="auto"/>
            <w:tcBorders>
              <w:tl2br w:val="nil"/>
              <w:tr2bl w:val="nil"/>
            </w:tcBorders>
            <w:shd w:val="clear" w:color="auto" w:fill="auto"/>
            <w:vAlign w:val="center"/>
          </w:tcPr>
          <w:p w14:paraId="37CF6033">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台</w:t>
            </w:r>
          </w:p>
        </w:tc>
        <w:tc>
          <w:tcPr>
            <w:tcW w:w="0" w:type="auto"/>
            <w:tcBorders>
              <w:tl2br w:val="nil"/>
              <w:tr2bl w:val="nil"/>
            </w:tcBorders>
            <w:vAlign w:val="center"/>
          </w:tcPr>
          <w:p w14:paraId="7A8FD035">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35582849">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5D052153">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3F312E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00DC8CC7">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w:t>
            </w:r>
          </w:p>
        </w:tc>
        <w:tc>
          <w:tcPr>
            <w:tcW w:w="1397" w:type="dxa"/>
            <w:tcBorders>
              <w:tl2br w:val="nil"/>
              <w:tr2bl w:val="nil"/>
            </w:tcBorders>
            <w:vAlign w:val="center"/>
          </w:tcPr>
          <w:p w14:paraId="7EC53803">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PAC</w:t>
            </w:r>
            <w:r>
              <w:rPr>
                <w:rFonts w:hint="eastAsia" w:ascii="宋体" w:hAnsi="宋体" w:eastAsia="宋体" w:cs="宋体"/>
                <w:spacing w:val="8"/>
                <w:sz w:val="21"/>
                <w:szCs w:val="21"/>
              </w:rPr>
              <w:t>投加泵</w:t>
            </w:r>
          </w:p>
        </w:tc>
        <w:tc>
          <w:tcPr>
            <w:tcW w:w="0" w:type="auto"/>
            <w:tcBorders>
              <w:tl2br w:val="nil"/>
              <w:tr2bl w:val="nil"/>
            </w:tcBorders>
            <w:vAlign w:val="center"/>
          </w:tcPr>
          <w:p w14:paraId="60EE1605">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pacing w:val="-1"/>
                <w:sz w:val="21"/>
                <w:szCs w:val="21"/>
              </w:rPr>
              <w:t>Q=240L/h</w:t>
            </w:r>
            <w:r>
              <w:rPr>
                <w:rFonts w:hint="eastAsia" w:ascii="宋体" w:hAnsi="宋体" w:eastAsia="宋体" w:cs="宋体"/>
                <w:spacing w:val="-1"/>
                <w:sz w:val="21"/>
                <w:szCs w:val="21"/>
                <w:lang w:eastAsia="zh-CN"/>
              </w:rPr>
              <w:t>,</w:t>
            </w:r>
            <w:r>
              <w:rPr>
                <w:rFonts w:hint="eastAsia" w:ascii="宋体" w:hAnsi="宋体" w:eastAsia="宋体" w:cs="宋体"/>
                <w:spacing w:val="-1"/>
                <w:sz w:val="21"/>
                <w:szCs w:val="21"/>
              </w:rPr>
              <w:t>0.7MPa</w:t>
            </w:r>
            <w:r>
              <w:rPr>
                <w:rFonts w:hint="eastAsia" w:ascii="宋体" w:hAnsi="宋体" w:eastAsia="宋体" w:cs="宋体"/>
                <w:spacing w:val="-1"/>
                <w:sz w:val="21"/>
                <w:szCs w:val="21"/>
                <w:lang w:eastAsia="zh-CN"/>
              </w:rPr>
              <w:t>,</w:t>
            </w:r>
            <w:r>
              <w:rPr>
                <w:rFonts w:hint="eastAsia" w:ascii="宋体" w:hAnsi="宋体" w:eastAsia="宋体" w:cs="宋体"/>
                <w:spacing w:val="4"/>
                <w:sz w:val="21"/>
                <w:szCs w:val="21"/>
              </w:rPr>
              <w:t>P=0.37</w:t>
            </w:r>
            <w:r>
              <w:rPr>
                <w:rFonts w:hint="eastAsia" w:ascii="宋体" w:hAnsi="宋体" w:eastAsia="宋体" w:cs="宋体"/>
                <w:spacing w:val="4"/>
                <w:sz w:val="21"/>
                <w:szCs w:val="21"/>
                <w:lang w:eastAsia="zh-CN"/>
              </w:rPr>
              <w:t>kW</w:t>
            </w:r>
          </w:p>
        </w:tc>
        <w:tc>
          <w:tcPr>
            <w:tcW w:w="0" w:type="auto"/>
            <w:tcBorders>
              <w:tl2br w:val="nil"/>
              <w:tr2bl w:val="nil"/>
            </w:tcBorders>
            <w:vAlign w:val="center"/>
          </w:tcPr>
          <w:p w14:paraId="58C8E190">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0" w:type="auto"/>
            <w:tcBorders>
              <w:tl2br w:val="nil"/>
              <w:tr2bl w:val="nil"/>
            </w:tcBorders>
            <w:vAlign w:val="center"/>
          </w:tcPr>
          <w:p w14:paraId="1F2C02FA">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19A81873">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38E5301F">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1E249C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0EFF0D57">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9</w:t>
            </w:r>
          </w:p>
        </w:tc>
        <w:tc>
          <w:tcPr>
            <w:tcW w:w="1397" w:type="dxa"/>
            <w:tcBorders>
              <w:tl2br w:val="nil"/>
              <w:tr2bl w:val="nil"/>
            </w:tcBorders>
            <w:shd w:val="clear" w:color="auto" w:fill="auto"/>
            <w:vAlign w:val="center"/>
          </w:tcPr>
          <w:p w14:paraId="09E0AA2E">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6"/>
                <w:sz w:val="21"/>
                <w:szCs w:val="21"/>
              </w:rPr>
              <w:t>磁粉回收泵</w:t>
            </w:r>
          </w:p>
        </w:tc>
        <w:tc>
          <w:tcPr>
            <w:tcW w:w="0" w:type="auto"/>
            <w:tcBorders>
              <w:tl2br w:val="nil"/>
              <w:tr2bl w:val="nil"/>
            </w:tcBorders>
            <w:shd w:val="clear" w:color="auto" w:fill="auto"/>
            <w:vAlign w:val="center"/>
          </w:tcPr>
          <w:p w14:paraId="0465C590">
            <w:pPr>
              <w:keepNext w:val="0"/>
              <w:keepLines w:val="0"/>
              <w:pageBreakBefore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3"/>
                <w:position w:val="3"/>
                <w:sz w:val="21"/>
                <w:szCs w:val="21"/>
              </w:rPr>
              <w:t>Q=15m</w:t>
            </w:r>
            <w:r>
              <w:rPr>
                <w:rFonts w:hint="eastAsia" w:ascii="宋体" w:hAnsi="宋体" w:eastAsia="宋体" w:cs="宋体"/>
                <w:spacing w:val="-2"/>
                <w:sz w:val="21"/>
                <w:szCs w:val="21"/>
                <w:vertAlign w:val="superscript"/>
                <w:lang w:val="en-US" w:eastAsia="zh-CN"/>
              </w:rPr>
              <w:t>3</w:t>
            </w:r>
            <w:r>
              <w:rPr>
                <w:rFonts w:hint="eastAsia" w:ascii="宋体" w:hAnsi="宋体" w:eastAsia="宋体" w:cs="宋体"/>
                <w:spacing w:val="3"/>
                <w:position w:val="3"/>
                <w:sz w:val="21"/>
                <w:szCs w:val="21"/>
              </w:rPr>
              <w:t>/h</w:t>
            </w:r>
            <w:r>
              <w:rPr>
                <w:rFonts w:hint="eastAsia" w:ascii="宋体" w:hAnsi="宋体" w:eastAsia="宋体" w:cs="宋体"/>
                <w:spacing w:val="3"/>
                <w:position w:val="3"/>
                <w:sz w:val="21"/>
                <w:szCs w:val="21"/>
                <w:lang w:eastAsia="zh-CN"/>
              </w:rPr>
              <w:t>,</w:t>
            </w:r>
            <w:r>
              <w:rPr>
                <w:rFonts w:hint="eastAsia" w:ascii="宋体" w:hAnsi="宋体" w:eastAsia="宋体" w:cs="宋体"/>
                <w:spacing w:val="2"/>
                <w:position w:val="2"/>
                <w:sz w:val="21"/>
                <w:szCs w:val="21"/>
              </w:rPr>
              <w:t>H=10m,N=3</w:t>
            </w:r>
            <w:r>
              <w:rPr>
                <w:rFonts w:hint="eastAsia" w:ascii="宋体" w:hAnsi="宋体" w:eastAsia="宋体" w:cs="宋体"/>
                <w:position w:val="2"/>
                <w:sz w:val="21"/>
                <w:szCs w:val="21"/>
              </w:rPr>
              <w:t>kW</w:t>
            </w:r>
          </w:p>
        </w:tc>
        <w:tc>
          <w:tcPr>
            <w:tcW w:w="0" w:type="auto"/>
            <w:tcBorders>
              <w:tl2br w:val="nil"/>
              <w:tr2bl w:val="nil"/>
            </w:tcBorders>
            <w:shd w:val="clear" w:color="auto" w:fill="auto"/>
            <w:vAlign w:val="center"/>
          </w:tcPr>
          <w:p w14:paraId="2AB6BD3D">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台</w:t>
            </w:r>
          </w:p>
        </w:tc>
        <w:tc>
          <w:tcPr>
            <w:tcW w:w="0" w:type="auto"/>
            <w:tcBorders>
              <w:tl2br w:val="nil"/>
              <w:tr2bl w:val="nil"/>
            </w:tcBorders>
            <w:shd w:val="clear" w:color="auto" w:fill="auto"/>
            <w:vAlign w:val="center"/>
          </w:tcPr>
          <w:p w14:paraId="6AD866CF">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1</w:t>
            </w:r>
          </w:p>
        </w:tc>
        <w:tc>
          <w:tcPr>
            <w:tcW w:w="0" w:type="auto"/>
            <w:tcBorders>
              <w:tl2br w:val="nil"/>
              <w:tr2bl w:val="nil"/>
            </w:tcBorders>
            <w:shd w:val="clear" w:color="auto" w:fill="auto"/>
            <w:vAlign w:val="center"/>
          </w:tcPr>
          <w:p w14:paraId="530F4534">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334C3651">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11B424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686" w:type="dxa"/>
            <w:tcBorders>
              <w:tl2br w:val="nil"/>
              <w:tr2bl w:val="nil"/>
            </w:tcBorders>
            <w:vAlign w:val="center"/>
          </w:tcPr>
          <w:p w14:paraId="711C4DE6">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w:t>
            </w:r>
          </w:p>
        </w:tc>
        <w:tc>
          <w:tcPr>
            <w:tcW w:w="1397" w:type="dxa"/>
            <w:tcBorders>
              <w:tl2br w:val="nil"/>
              <w:tr2bl w:val="nil"/>
            </w:tcBorders>
            <w:shd w:val="clear" w:color="auto" w:fill="auto"/>
            <w:vAlign w:val="center"/>
          </w:tcPr>
          <w:p w14:paraId="0B7D9B96">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6"/>
                <w:sz w:val="21"/>
                <w:szCs w:val="21"/>
              </w:rPr>
              <w:t>污泥回流泵</w:t>
            </w:r>
          </w:p>
        </w:tc>
        <w:tc>
          <w:tcPr>
            <w:tcW w:w="0" w:type="auto"/>
            <w:tcBorders>
              <w:tl2br w:val="nil"/>
              <w:tr2bl w:val="nil"/>
            </w:tcBorders>
            <w:shd w:val="clear" w:color="auto" w:fill="auto"/>
            <w:vAlign w:val="center"/>
          </w:tcPr>
          <w:p w14:paraId="3D27A2DB">
            <w:pPr>
              <w:keepNext w:val="0"/>
              <w:keepLines w:val="0"/>
              <w:pageBreakBefore w:val="0"/>
              <w:kinsoku/>
              <w:wordWrap/>
              <w:overflowPunct/>
              <w:topLinePunct w:val="0"/>
              <w:autoSpaceDE/>
              <w:autoSpaceDN/>
              <w:bidi w:val="0"/>
              <w:adjustRightInd/>
              <w:snapToGrid w:val="0"/>
              <w:spacing w:line="240" w:lineRule="auto"/>
              <w:ind w:left="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3"/>
                <w:position w:val="3"/>
                <w:sz w:val="21"/>
                <w:szCs w:val="21"/>
              </w:rPr>
              <w:t>Q=40m</w:t>
            </w:r>
            <w:r>
              <w:rPr>
                <w:rFonts w:hint="eastAsia" w:ascii="宋体" w:hAnsi="宋体" w:eastAsia="宋体" w:cs="宋体"/>
                <w:spacing w:val="-2"/>
                <w:sz w:val="21"/>
                <w:szCs w:val="21"/>
                <w:vertAlign w:val="superscript"/>
                <w:lang w:val="en-US" w:eastAsia="zh-CN"/>
              </w:rPr>
              <w:t>3</w:t>
            </w:r>
            <w:r>
              <w:rPr>
                <w:rFonts w:hint="eastAsia" w:ascii="宋体" w:hAnsi="宋体" w:eastAsia="宋体" w:cs="宋体"/>
                <w:spacing w:val="3"/>
                <w:position w:val="3"/>
                <w:sz w:val="21"/>
                <w:szCs w:val="21"/>
              </w:rPr>
              <w:t>/h</w:t>
            </w:r>
            <w:r>
              <w:rPr>
                <w:rFonts w:hint="eastAsia" w:ascii="宋体" w:hAnsi="宋体" w:eastAsia="宋体" w:cs="宋体"/>
                <w:spacing w:val="3"/>
                <w:position w:val="3"/>
                <w:sz w:val="21"/>
                <w:szCs w:val="21"/>
                <w:lang w:eastAsia="zh-CN"/>
              </w:rPr>
              <w:t>,</w:t>
            </w:r>
            <w:r>
              <w:rPr>
                <w:rFonts w:hint="eastAsia" w:ascii="宋体" w:hAnsi="宋体" w:eastAsia="宋体" w:cs="宋体"/>
                <w:spacing w:val="2"/>
                <w:position w:val="2"/>
                <w:sz w:val="21"/>
                <w:szCs w:val="21"/>
              </w:rPr>
              <w:t>H=12m,N=4</w:t>
            </w:r>
            <w:r>
              <w:rPr>
                <w:rFonts w:hint="eastAsia" w:ascii="宋体" w:hAnsi="宋体" w:eastAsia="宋体" w:cs="宋体"/>
                <w:position w:val="2"/>
                <w:sz w:val="21"/>
                <w:szCs w:val="21"/>
              </w:rPr>
              <w:t>kW</w:t>
            </w:r>
          </w:p>
        </w:tc>
        <w:tc>
          <w:tcPr>
            <w:tcW w:w="0" w:type="auto"/>
            <w:tcBorders>
              <w:tl2br w:val="nil"/>
              <w:tr2bl w:val="nil"/>
            </w:tcBorders>
            <w:shd w:val="clear" w:color="auto" w:fill="auto"/>
            <w:vAlign w:val="center"/>
          </w:tcPr>
          <w:p w14:paraId="0423CD99">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台</w:t>
            </w:r>
          </w:p>
        </w:tc>
        <w:tc>
          <w:tcPr>
            <w:tcW w:w="0" w:type="auto"/>
            <w:tcBorders>
              <w:tl2br w:val="nil"/>
              <w:tr2bl w:val="nil"/>
            </w:tcBorders>
            <w:shd w:val="clear" w:color="auto" w:fill="auto"/>
            <w:vAlign w:val="center"/>
          </w:tcPr>
          <w:p w14:paraId="1BB0FD4B">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1</w:t>
            </w:r>
          </w:p>
        </w:tc>
        <w:tc>
          <w:tcPr>
            <w:tcW w:w="0" w:type="auto"/>
            <w:tcBorders>
              <w:tl2br w:val="nil"/>
              <w:tr2bl w:val="nil"/>
            </w:tcBorders>
            <w:shd w:val="clear" w:color="auto" w:fill="auto"/>
            <w:vAlign w:val="center"/>
          </w:tcPr>
          <w:p w14:paraId="7EE3EF81">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1E4B4240">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7316F0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2854B955">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11</w:t>
            </w:r>
          </w:p>
        </w:tc>
        <w:tc>
          <w:tcPr>
            <w:tcW w:w="1397" w:type="dxa"/>
            <w:tcBorders>
              <w:tl2br w:val="nil"/>
              <w:tr2bl w:val="nil"/>
            </w:tcBorders>
            <w:shd w:val="clear" w:color="auto" w:fill="auto"/>
            <w:vAlign w:val="center"/>
          </w:tcPr>
          <w:p w14:paraId="71402915">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6"/>
                <w:sz w:val="21"/>
                <w:szCs w:val="21"/>
              </w:rPr>
              <w:t>污泥回流流量计</w:t>
            </w:r>
          </w:p>
        </w:tc>
        <w:tc>
          <w:tcPr>
            <w:tcW w:w="0" w:type="auto"/>
            <w:tcBorders>
              <w:tl2br w:val="nil"/>
              <w:tr2bl w:val="nil"/>
            </w:tcBorders>
            <w:shd w:val="clear" w:color="auto" w:fill="auto"/>
            <w:vAlign w:val="center"/>
          </w:tcPr>
          <w:p w14:paraId="0BA828D2">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DN</w:t>
            </w:r>
            <w:r>
              <w:rPr>
                <w:rFonts w:hint="eastAsia" w:ascii="宋体" w:hAnsi="宋体" w:eastAsia="宋体" w:cs="宋体"/>
                <w:spacing w:val="7"/>
                <w:sz w:val="21"/>
                <w:szCs w:val="21"/>
              </w:rPr>
              <w:t>150</w:t>
            </w:r>
          </w:p>
        </w:tc>
        <w:tc>
          <w:tcPr>
            <w:tcW w:w="0" w:type="auto"/>
            <w:tcBorders>
              <w:tl2br w:val="nil"/>
              <w:tr2bl w:val="nil"/>
            </w:tcBorders>
            <w:shd w:val="clear" w:color="auto" w:fill="auto"/>
            <w:vAlign w:val="center"/>
          </w:tcPr>
          <w:p w14:paraId="0EAB165B">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套</w:t>
            </w:r>
          </w:p>
        </w:tc>
        <w:tc>
          <w:tcPr>
            <w:tcW w:w="0" w:type="auto"/>
            <w:tcBorders>
              <w:tl2br w:val="nil"/>
              <w:tr2bl w:val="nil"/>
            </w:tcBorders>
            <w:vAlign w:val="center"/>
          </w:tcPr>
          <w:p w14:paraId="441BF844">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281FC0FF">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375481CB">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0D8A78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422C95AC">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12</w:t>
            </w:r>
          </w:p>
        </w:tc>
        <w:tc>
          <w:tcPr>
            <w:tcW w:w="1397" w:type="dxa"/>
            <w:tcBorders>
              <w:tl2br w:val="nil"/>
              <w:tr2bl w:val="nil"/>
            </w:tcBorders>
            <w:shd w:val="clear" w:color="auto" w:fill="auto"/>
            <w:vAlign w:val="center"/>
          </w:tcPr>
          <w:p w14:paraId="0B20BCA8">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6"/>
                <w:sz w:val="21"/>
                <w:szCs w:val="21"/>
              </w:rPr>
              <w:t>磁粉回收流量计</w:t>
            </w:r>
          </w:p>
        </w:tc>
        <w:tc>
          <w:tcPr>
            <w:tcW w:w="0" w:type="auto"/>
            <w:tcBorders>
              <w:tl2br w:val="nil"/>
              <w:tr2bl w:val="nil"/>
            </w:tcBorders>
            <w:shd w:val="clear" w:color="auto" w:fill="auto"/>
            <w:vAlign w:val="center"/>
          </w:tcPr>
          <w:p w14:paraId="30211227">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DN</w:t>
            </w:r>
            <w:r>
              <w:rPr>
                <w:rFonts w:hint="eastAsia" w:ascii="宋体" w:hAnsi="宋体" w:eastAsia="宋体" w:cs="宋体"/>
                <w:spacing w:val="7"/>
                <w:sz w:val="21"/>
                <w:szCs w:val="21"/>
              </w:rPr>
              <w:t>200</w:t>
            </w:r>
          </w:p>
        </w:tc>
        <w:tc>
          <w:tcPr>
            <w:tcW w:w="0" w:type="auto"/>
            <w:tcBorders>
              <w:tl2br w:val="nil"/>
              <w:tr2bl w:val="nil"/>
            </w:tcBorders>
            <w:shd w:val="clear" w:color="auto" w:fill="auto"/>
            <w:vAlign w:val="center"/>
          </w:tcPr>
          <w:p w14:paraId="7D2710B3">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套</w:t>
            </w:r>
          </w:p>
        </w:tc>
        <w:tc>
          <w:tcPr>
            <w:tcW w:w="0" w:type="auto"/>
            <w:tcBorders>
              <w:tl2br w:val="nil"/>
              <w:tr2bl w:val="nil"/>
            </w:tcBorders>
            <w:vAlign w:val="center"/>
          </w:tcPr>
          <w:p w14:paraId="519A518C">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33DBBACF">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6E83A3CE">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4CFA2A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6DDFB3B5">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13</w:t>
            </w:r>
          </w:p>
        </w:tc>
        <w:tc>
          <w:tcPr>
            <w:tcW w:w="1397" w:type="dxa"/>
            <w:tcBorders>
              <w:tl2br w:val="nil"/>
              <w:tr2bl w:val="nil"/>
            </w:tcBorders>
            <w:shd w:val="clear" w:color="auto" w:fill="auto"/>
            <w:vAlign w:val="center"/>
          </w:tcPr>
          <w:p w14:paraId="51F4511B">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6"/>
                <w:sz w:val="21"/>
                <w:szCs w:val="21"/>
              </w:rPr>
              <w:t>斜管及支架</w:t>
            </w:r>
          </w:p>
        </w:tc>
        <w:tc>
          <w:tcPr>
            <w:tcW w:w="0" w:type="auto"/>
            <w:tcBorders>
              <w:tl2br w:val="nil"/>
              <w:tr2bl w:val="nil"/>
            </w:tcBorders>
            <w:shd w:val="clear" w:color="auto" w:fill="auto"/>
            <w:vAlign w:val="center"/>
          </w:tcPr>
          <w:p w14:paraId="3E97F17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Φ80，1mm厚，斜长</w:t>
            </w:r>
            <w:r>
              <w:rPr>
                <w:rFonts w:hint="eastAsia" w:ascii="宋体" w:hAnsi="宋体" w:eastAsia="宋体" w:cs="宋体"/>
                <w:spacing w:val="-1"/>
                <w:sz w:val="21"/>
                <w:szCs w:val="21"/>
              </w:rPr>
              <w:t>1m，每套50m</w:t>
            </w:r>
            <w:r>
              <w:rPr>
                <w:rFonts w:hint="eastAsia" w:ascii="宋体" w:hAnsi="宋体" w:eastAsia="宋体" w:cs="宋体"/>
                <w:spacing w:val="-1"/>
                <w:sz w:val="21"/>
                <w:szCs w:val="21"/>
                <w:vertAlign w:val="superscript"/>
                <w:lang w:val="en-US" w:eastAsia="zh-CN"/>
              </w:rPr>
              <w:t>2</w:t>
            </w:r>
          </w:p>
        </w:tc>
        <w:tc>
          <w:tcPr>
            <w:tcW w:w="0" w:type="auto"/>
            <w:tcBorders>
              <w:tl2br w:val="nil"/>
              <w:tr2bl w:val="nil"/>
            </w:tcBorders>
            <w:shd w:val="clear" w:color="auto" w:fill="auto"/>
            <w:vAlign w:val="center"/>
          </w:tcPr>
          <w:p w14:paraId="722FFB9C">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套</w:t>
            </w:r>
          </w:p>
        </w:tc>
        <w:tc>
          <w:tcPr>
            <w:tcW w:w="0" w:type="auto"/>
            <w:tcBorders>
              <w:tl2br w:val="nil"/>
              <w:tr2bl w:val="nil"/>
            </w:tcBorders>
            <w:vAlign w:val="center"/>
          </w:tcPr>
          <w:p w14:paraId="76C99288">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1D49BCEC">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0B3D3DA6">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0EFC8C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38B31098">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14</w:t>
            </w:r>
          </w:p>
        </w:tc>
        <w:tc>
          <w:tcPr>
            <w:tcW w:w="1397" w:type="dxa"/>
            <w:tcBorders>
              <w:tl2br w:val="nil"/>
              <w:tr2bl w:val="nil"/>
            </w:tcBorders>
            <w:shd w:val="clear" w:color="auto" w:fill="auto"/>
            <w:vAlign w:val="center"/>
          </w:tcPr>
          <w:p w14:paraId="7F4094A0">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6"/>
                <w:sz w:val="21"/>
                <w:szCs w:val="21"/>
              </w:rPr>
              <w:t>不锈钢集水槽</w:t>
            </w:r>
          </w:p>
        </w:tc>
        <w:tc>
          <w:tcPr>
            <w:tcW w:w="0" w:type="auto"/>
            <w:tcBorders>
              <w:tl2br w:val="nil"/>
              <w:tr2bl w:val="nil"/>
            </w:tcBorders>
            <w:shd w:val="clear" w:color="auto" w:fill="auto"/>
            <w:vAlign w:val="center"/>
          </w:tcPr>
          <w:p w14:paraId="247B5E02">
            <w:pPr>
              <w:keepNext w:val="0"/>
              <w:keepLines w:val="0"/>
              <w:pageBreakBefore w:val="0"/>
              <w:kinsoku/>
              <w:wordWrap/>
              <w:overflowPunct/>
              <w:topLinePunct w:val="0"/>
              <w:autoSpaceDE/>
              <w:autoSpaceDN/>
              <w:bidi w:val="0"/>
              <w:adjustRightInd/>
              <w:snapToGrid w:val="0"/>
              <w:spacing w:line="240" w:lineRule="auto"/>
              <w:ind w:left="0" w:leftChars="0" w:right="106" w:rightChars="0" w:firstLine="64"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LxBxH</w:t>
            </w:r>
            <w:r>
              <w:rPr>
                <w:rFonts w:hint="eastAsia" w:ascii="宋体" w:hAnsi="宋体" w:eastAsia="宋体" w:cs="宋体"/>
                <w:spacing w:val="8"/>
                <w:sz w:val="21"/>
                <w:szCs w:val="21"/>
              </w:rPr>
              <w:t>=3460</w:t>
            </w:r>
            <w:r>
              <w:rPr>
                <w:rFonts w:hint="eastAsia" w:ascii="宋体" w:hAnsi="宋体" w:eastAsia="宋体" w:cs="宋体"/>
                <w:sz w:val="21"/>
                <w:szCs w:val="21"/>
              </w:rPr>
              <w:t>mmx</w:t>
            </w:r>
            <w:r>
              <w:rPr>
                <w:rFonts w:hint="eastAsia" w:ascii="宋体" w:hAnsi="宋体" w:eastAsia="宋体" w:cs="宋体"/>
                <w:spacing w:val="8"/>
                <w:sz w:val="21"/>
                <w:szCs w:val="21"/>
              </w:rPr>
              <w:t>300</w:t>
            </w:r>
            <w:r>
              <w:rPr>
                <w:rFonts w:hint="eastAsia" w:ascii="宋体" w:hAnsi="宋体" w:eastAsia="宋体" w:cs="宋体"/>
                <w:spacing w:val="-2"/>
                <w:sz w:val="21"/>
                <w:szCs w:val="21"/>
              </w:rPr>
              <w:t>mmx500mm</w:t>
            </w:r>
            <w:r>
              <w:rPr>
                <w:rFonts w:hint="eastAsia" w:ascii="宋体" w:hAnsi="宋体" w:eastAsia="宋体" w:cs="宋体"/>
                <w:spacing w:val="-2"/>
                <w:sz w:val="21"/>
                <w:szCs w:val="21"/>
                <w:lang w:eastAsia="zh-CN"/>
              </w:rPr>
              <w:t>,</w:t>
            </w:r>
            <w:r>
              <w:rPr>
                <w:rFonts w:hint="eastAsia" w:ascii="宋体" w:hAnsi="宋体" w:eastAsia="宋体" w:cs="宋体"/>
                <w:spacing w:val="-2"/>
                <w:sz w:val="21"/>
                <w:szCs w:val="21"/>
              </w:rPr>
              <w:t>δ=4mm</w:t>
            </w:r>
          </w:p>
        </w:tc>
        <w:tc>
          <w:tcPr>
            <w:tcW w:w="0" w:type="auto"/>
            <w:tcBorders>
              <w:tl2br w:val="nil"/>
              <w:tr2bl w:val="nil"/>
            </w:tcBorders>
            <w:vAlign w:val="center"/>
          </w:tcPr>
          <w:p w14:paraId="10698EF1">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套</w:t>
            </w:r>
          </w:p>
        </w:tc>
        <w:tc>
          <w:tcPr>
            <w:tcW w:w="0" w:type="auto"/>
            <w:tcBorders>
              <w:tl2br w:val="nil"/>
              <w:tr2bl w:val="nil"/>
            </w:tcBorders>
            <w:vAlign w:val="center"/>
          </w:tcPr>
          <w:p w14:paraId="43144D64">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w:t>
            </w:r>
          </w:p>
        </w:tc>
        <w:tc>
          <w:tcPr>
            <w:tcW w:w="0" w:type="auto"/>
            <w:tcBorders>
              <w:tl2br w:val="nil"/>
              <w:tr2bl w:val="nil"/>
            </w:tcBorders>
            <w:vAlign w:val="center"/>
          </w:tcPr>
          <w:p w14:paraId="7099EA4B">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w:t>
            </w:r>
          </w:p>
        </w:tc>
        <w:tc>
          <w:tcPr>
            <w:tcW w:w="0" w:type="auto"/>
            <w:tcBorders>
              <w:tl2br w:val="nil"/>
              <w:tr2bl w:val="nil"/>
            </w:tcBorders>
            <w:vAlign w:val="center"/>
          </w:tcPr>
          <w:p w14:paraId="3F982E82">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388CAD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22FADEF8">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t>九</w:t>
            </w:r>
          </w:p>
        </w:tc>
        <w:tc>
          <w:tcPr>
            <w:tcW w:w="7836" w:type="dxa"/>
            <w:gridSpan w:val="6"/>
            <w:tcBorders>
              <w:tl2br w:val="nil"/>
              <w:tr2bl w:val="nil"/>
            </w:tcBorders>
            <w:vAlign w:val="center"/>
          </w:tcPr>
          <w:p w14:paraId="1D1A33AE">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b/>
                <w:bCs/>
                <w:spacing w:val="8"/>
                <w:sz w:val="21"/>
                <w:szCs w:val="21"/>
              </w:rPr>
              <w:t>反硝化深床滤池</w:t>
            </w:r>
          </w:p>
        </w:tc>
      </w:tr>
      <w:tr w14:paraId="5A9E75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5E56ABF8">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397" w:type="dxa"/>
            <w:tcBorders>
              <w:tl2br w:val="nil"/>
              <w:tr2bl w:val="nil"/>
            </w:tcBorders>
            <w:shd w:val="clear" w:color="auto" w:fill="auto"/>
            <w:vAlign w:val="center"/>
          </w:tcPr>
          <w:p w14:paraId="08C38517">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7"/>
                <w:sz w:val="21"/>
                <w:szCs w:val="21"/>
              </w:rPr>
              <w:t>滤砖及附件</w:t>
            </w:r>
          </w:p>
        </w:tc>
        <w:tc>
          <w:tcPr>
            <w:tcW w:w="0" w:type="auto"/>
            <w:tcBorders>
              <w:tl2br w:val="nil"/>
              <w:tr2bl w:val="nil"/>
            </w:tcBorders>
            <w:shd w:val="clear" w:color="auto" w:fill="auto"/>
            <w:vAlign w:val="center"/>
          </w:tcPr>
          <w:p w14:paraId="14D45AA4">
            <w:pPr>
              <w:keepNext w:val="0"/>
              <w:keepLines w:val="0"/>
              <w:pageBreakBefore w:val="0"/>
              <w:kinsoku/>
              <w:wordWrap/>
              <w:overflowPunct/>
              <w:topLinePunct w:val="0"/>
              <w:autoSpaceDE/>
              <w:autoSpaceDN/>
              <w:bidi w:val="0"/>
              <w:adjustRightInd/>
              <w:snapToGrid w:val="0"/>
              <w:spacing w:line="240" w:lineRule="auto"/>
              <w:ind w:left="0" w:leftChars="0" w:right="373" w:rightChars="0" w:hanging="292" w:firstLineChars="0"/>
              <w:jc w:val="righ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LxH</w:t>
            </w:r>
            <w:r>
              <w:rPr>
                <w:rFonts w:hint="eastAsia" w:ascii="宋体" w:hAnsi="宋体" w:eastAsia="宋体" w:cs="宋体"/>
                <w:spacing w:val="2"/>
                <w:sz w:val="21"/>
                <w:szCs w:val="21"/>
              </w:rPr>
              <w:t>=10.0x3.66m</w:t>
            </w:r>
            <w:r>
              <w:rPr>
                <w:rFonts w:hint="eastAsia" w:ascii="宋体" w:hAnsi="宋体" w:eastAsia="宋体" w:cs="宋体"/>
                <w:spacing w:val="6"/>
                <w:sz w:val="21"/>
                <w:szCs w:val="21"/>
              </w:rPr>
              <w:t>H=200</w:t>
            </w:r>
            <w:r>
              <w:rPr>
                <w:rFonts w:hint="eastAsia" w:ascii="宋体" w:hAnsi="宋体" w:eastAsia="宋体" w:cs="宋体"/>
                <w:sz w:val="21"/>
                <w:szCs w:val="21"/>
              </w:rPr>
              <w:t>mm</w:t>
            </w:r>
          </w:p>
        </w:tc>
        <w:tc>
          <w:tcPr>
            <w:tcW w:w="0" w:type="auto"/>
            <w:tcBorders>
              <w:tl2br w:val="nil"/>
              <w:tr2bl w:val="nil"/>
            </w:tcBorders>
            <w:shd w:val="clear" w:color="auto" w:fill="auto"/>
            <w:vAlign w:val="center"/>
          </w:tcPr>
          <w:p w14:paraId="0489A502">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套</w:t>
            </w:r>
          </w:p>
        </w:tc>
        <w:tc>
          <w:tcPr>
            <w:tcW w:w="0" w:type="auto"/>
            <w:tcBorders>
              <w:tl2br w:val="nil"/>
              <w:tr2bl w:val="nil"/>
            </w:tcBorders>
            <w:vAlign w:val="center"/>
          </w:tcPr>
          <w:p w14:paraId="729CB287">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shd w:val="clear" w:color="auto" w:fill="auto"/>
            <w:vAlign w:val="center"/>
          </w:tcPr>
          <w:p w14:paraId="6557D15A">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6FF68D19">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3A2F45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0CDFE49A">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397" w:type="dxa"/>
            <w:tcBorders>
              <w:tl2br w:val="nil"/>
              <w:tr2bl w:val="nil"/>
            </w:tcBorders>
            <w:shd w:val="clear" w:color="auto" w:fill="auto"/>
            <w:vAlign w:val="center"/>
          </w:tcPr>
          <w:p w14:paraId="1269CC8A">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6"/>
                <w:sz w:val="21"/>
                <w:szCs w:val="21"/>
              </w:rPr>
              <w:t>配气管</w:t>
            </w:r>
          </w:p>
        </w:tc>
        <w:tc>
          <w:tcPr>
            <w:tcW w:w="0" w:type="auto"/>
            <w:tcBorders>
              <w:tl2br w:val="nil"/>
              <w:tr2bl w:val="nil"/>
            </w:tcBorders>
            <w:shd w:val="clear" w:color="auto" w:fill="auto"/>
            <w:vAlign w:val="center"/>
          </w:tcPr>
          <w:p w14:paraId="7BB579BF">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5"/>
                <w:position w:val="2"/>
                <w:sz w:val="21"/>
                <w:szCs w:val="21"/>
              </w:rPr>
              <w:t>L=3660</w:t>
            </w:r>
            <w:r>
              <w:rPr>
                <w:rFonts w:hint="eastAsia" w:ascii="宋体" w:hAnsi="宋体" w:eastAsia="宋体" w:cs="宋体"/>
                <w:position w:val="2"/>
                <w:sz w:val="21"/>
                <w:szCs w:val="21"/>
              </w:rPr>
              <w:t>mm</w:t>
            </w:r>
          </w:p>
        </w:tc>
        <w:tc>
          <w:tcPr>
            <w:tcW w:w="0" w:type="auto"/>
            <w:tcBorders>
              <w:tl2br w:val="nil"/>
              <w:tr2bl w:val="nil"/>
            </w:tcBorders>
            <w:shd w:val="clear" w:color="auto" w:fill="auto"/>
            <w:vAlign w:val="center"/>
          </w:tcPr>
          <w:p w14:paraId="31E523B3">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套</w:t>
            </w:r>
          </w:p>
        </w:tc>
        <w:tc>
          <w:tcPr>
            <w:tcW w:w="0" w:type="auto"/>
            <w:tcBorders>
              <w:tl2br w:val="nil"/>
              <w:tr2bl w:val="nil"/>
            </w:tcBorders>
            <w:vAlign w:val="center"/>
          </w:tcPr>
          <w:p w14:paraId="3212026B">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shd w:val="clear" w:color="auto" w:fill="auto"/>
            <w:vAlign w:val="center"/>
          </w:tcPr>
          <w:p w14:paraId="6620BE93">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6657A225">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56D103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29CFF082">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1397" w:type="dxa"/>
            <w:tcBorders>
              <w:tl2br w:val="nil"/>
              <w:tr2bl w:val="nil"/>
            </w:tcBorders>
            <w:shd w:val="clear" w:color="auto" w:fill="auto"/>
            <w:vAlign w:val="center"/>
          </w:tcPr>
          <w:p w14:paraId="3DE5D244">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6"/>
                <w:sz w:val="21"/>
                <w:szCs w:val="21"/>
              </w:rPr>
              <w:t>承托层</w:t>
            </w:r>
          </w:p>
        </w:tc>
        <w:tc>
          <w:tcPr>
            <w:tcW w:w="0" w:type="auto"/>
            <w:tcBorders>
              <w:tl2br w:val="nil"/>
              <w:tr2bl w:val="nil"/>
            </w:tcBorders>
            <w:shd w:val="clear" w:color="auto" w:fill="auto"/>
            <w:vAlign w:val="center"/>
          </w:tcPr>
          <w:p w14:paraId="26852688">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8"/>
                <w:sz w:val="21"/>
                <w:szCs w:val="21"/>
              </w:rPr>
              <w:t>五级配比承托层</w:t>
            </w:r>
          </w:p>
        </w:tc>
        <w:tc>
          <w:tcPr>
            <w:tcW w:w="0" w:type="auto"/>
            <w:tcBorders>
              <w:tl2br w:val="nil"/>
              <w:tr2bl w:val="nil"/>
            </w:tcBorders>
            <w:shd w:val="clear" w:color="auto" w:fill="auto"/>
            <w:vAlign w:val="center"/>
          </w:tcPr>
          <w:p w14:paraId="5D475BCD">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4"/>
                <w:position w:val="-3"/>
                <w:sz w:val="21"/>
                <w:szCs w:val="21"/>
              </w:rPr>
              <w:t>m</w:t>
            </w:r>
            <w:r>
              <w:rPr>
                <w:rFonts w:hint="eastAsia" w:ascii="宋体" w:hAnsi="宋体" w:eastAsia="宋体" w:cs="宋体"/>
                <w:spacing w:val="4"/>
                <w:position w:val="3"/>
                <w:sz w:val="21"/>
                <w:szCs w:val="21"/>
              </w:rPr>
              <w:t>3</w:t>
            </w:r>
          </w:p>
        </w:tc>
        <w:tc>
          <w:tcPr>
            <w:tcW w:w="0" w:type="auto"/>
            <w:tcBorders>
              <w:tl2br w:val="nil"/>
              <w:tr2bl w:val="nil"/>
            </w:tcBorders>
            <w:vAlign w:val="center"/>
          </w:tcPr>
          <w:p w14:paraId="1418A442">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14</w:t>
            </w:r>
          </w:p>
        </w:tc>
        <w:tc>
          <w:tcPr>
            <w:tcW w:w="0" w:type="auto"/>
            <w:tcBorders>
              <w:tl2br w:val="nil"/>
              <w:tr2bl w:val="nil"/>
            </w:tcBorders>
            <w:shd w:val="clear" w:color="auto" w:fill="auto"/>
            <w:vAlign w:val="center"/>
          </w:tcPr>
          <w:p w14:paraId="155219D0">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14</w:t>
            </w:r>
          </w:p>
        </w:tc>
        <w:tc>
          <w:tcPr>
            <w:tcW w:w="0" w:type="auto"/>
            <w:tcBorders>
              <w:tl2br w:val="nil"/>
              <w:tr2bl w:val="nil"/>
            </w:tcBorders>
            <w:vAlign w:val="center"/>
          </w:tcPr>
          <w:p w14:paraId="36FEFFF8">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5E824D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432B457A">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p>
        </w:tc>
        <w:tc>
          <w:tcPr>
            <w:tcW w:w="1397" w:type="dxa"/>
            <w:tcBorders>
              <w:tl2br w:val="nil"/>
              <w:tr2bl w:val="nil"/>
            </w:tcBorders>
            <w:shd w:val="clear" w:color="auto" w:fill="auto"/>
            <w:vAlign w:val="center"/>
          </w:tcPr>
          <w:p w14:paraId="3754D773">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6"/>
                <w:sz w:val="21"/>
                <w:szCs w:val="21"/>
              </w:rPr>
              <w:t>滤料层</w:t>
            </w:r>
          </w:p>
        </w:tc>
        <w:tc>
          <w:tcPr>
            <w:tcW w:w="0" w:type="auto"/>
            <w:tcBorders>
              <w:tl2br w:val="nil"/>
              <w:tr2bl w:val="nil"/>
            </w:tcBorders>
            <w:shd w:val="clear" w:color="auto" w:fill="auto"/>
            <w:vAlign w:val="center"/>
          </w:tcPr>
          <w:p w14:paraId="1A6B14A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2"/>
                <w:sz w:val="21"/>
                <w:szCs w:val="21"/>
              </w:rPr>
              <w:t>1.7~3.35</w:t>
            </w:r>
            <w:r>
              <w:rPr>
                <w:rFonts w:hint="eastAsia" w:ascii="宋体" w:hAnsi="宋体" w:eastAsia="宋体" w:cs="宋体"/>
                <w:sz w:val="21"/>
                <w:szCs w:val="21"/>
              </w:rPr>
              <w:t>mm</w:t>
            </w:r>
            <w:r>
              <w:rPr>
                <w:rFonts w:hint="eastAsia" w:ascii="宋体" w:hAnsi="宋体" w:eastAsia="宋体" w:cs="宋体"/>
                <w:spacing w:val="2"/>
                <w:sz w:val="21"/>
                <w:szCs w:val="21"/>
              </w:rPr>
              <w:t>，均匀系数&lt;1.40</w:t>
            </w:r>
          </w:p>
        </w:tc>
        <w:tc>
          <w:tcPr>
            <w:tcW w:w="0" w:type="auto"/>
            <w:tcBorders>
              <w:tl2br w:val="nil"/>
              <w:tr2bl w:val="nil"/>
            </w:tcBorders>
            <w:shd w:val="clear" w:color="auto" w:fill="auto"/>
            <w:vAlign w:val="center"/>
          </w:tcPr>
          <w:p w14:paraId="5FA8A183">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4"/>
                <w:position w:val="-3"/>
                <w:sz w:val="21"/>
                <w:szCs w:val="21"/>
              </w:rPr>
              <w:t>m</w:t>
            </w:r>
            <w:r>
              <w:rPr>
                <w:rFonts w:hint="eastAsia" w:ascii="宋体" w:hAnsi="宋体" w:eastAsia="宋体" w:cs="宋体"/>
                <w:spacing w:val="4"/>
                <w:position w:val="3"/>
                <w:sz w:val="21"/>
                <w:szCs w:val="21"/>
              </w:rPr>
              <w:t>3</w:t>
            </w:r>
          </w:p>
        </w:tc>
        <w:tc>
          <w:tcPr>
            <w:tcW w:w="0" w:type="auto"/>
            <w:tcBorders>
              <w:tl2br w:val="nil"/>
              <w:tr2bl w:val="nil"/>
            </w:tcBorders>
            <w:vAlign w:val="center"/>
          </w:tcPr>
          <w:p w14:paraId="4F283580">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66</w:t>
            </w:r>
          </w:p>
        </w:tc>
        <w:tc>
          <w:tcPr>
            <w:tcW w:w="0" w:type="auto"/>
            <w:tcBorders>
              <w:tl2br w:val="nil"/>
              <w:tr2bl w:val="nil"/>
            </w:tcBorders>
            <w:shd w:val="clear" w:color="auto" w:fill="auto"/>
            <w:vAlign w:val="center"/>
          </w:tcPr>
          <w:p w14:paraId="7118E201">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66</w:t>
            </w:r>
          </w:p>
        </w:tc>
        <w:tc>
          <w:tcPr>
            <w:tcW w:w="0" w:type="auto"/>
            <w:tcBorders>
              <w:tl2br w:val="nil"/>
              <w:tr2bl w:val="nil"/>
            </w:tcBorders>
            <w:vAlign w:val="center"/>
          </w:tcPr>
          <w:p w14:paraId="7B111752">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177DD1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4B638686">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t>十</w:t>
            </w:r>
          </w:p>
        </w:tc>
        <w:tc>
          <w:tcPr>
            <w:tcW w:w="7836" w:type="dxa"/>
            <w:gridSpan w:val="6"/>
            <w:tcBorders>
              <w:tl2br w:val="nil"/>
              <w:tr2bl w:val="nil"/>
            </w:tcBorders>
            <w:vAlign w:val="center"/>
          </w:tcPr>
          <w:p w14:paraId="2C33C8D8">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b/>
                <w:bCs/>
                <w:spacing w:val="6"/>
                <w:sz w:val="21"/>
                <w:szCs w:val="21"/>
              </w:rPr>
              <w:t>加药间</w:t>
            </w:r>
          </w:p>
        </w:tc>
      </w:tr>
      <w:tr w14:paraId="47146F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2263EE72">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397" w:type="dxa"/>
            <w:tcBorders>
              <w:tl2br w:val="nil"/>
              <w:tr2bl w:val="nil"/>
            </w:tcBorders>
            <w:shd w:val="clear" w:color="auto" w:fill="auto"/>
            <w:vAlign w:val="center"/>
          </w:tcPr>
          <w:p w14:paraId="540242ED">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8"/>
                <w:sz w:val="21"/>
                <w:szCs w:val="21"/>
              </w:rPr>
              <w:t>碳源计量泵</w:t>
            </w:r>
          </w:p>
        </w:tc>
        <w:tc>
          <w:tcPr>
            <w:tcW w:w="0" w:type="auto"/>
            <w:tcBorders>
              <w:tl2br w:val="nil"/>
              <w:tr2bl w:val="nil"/>
            </w:tcBorders>
            <w:shd w:val="clear" w:color="auto" w:fill="auto"/>
            <w:vAlign w:val="center"/>
          </w:tcPr>
          <w:p w14:paraId="02A43A7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1"/>
                <w:sz w:val="21"/>
                <w:szCs w:val="21"/>
              </w:rPr>
              <w:t>Q=700L/h，扬程7bar，</w:t>
            </w:r>
            <w:r>
              <w:rPr>
                <w:rFonts w:hint="eastAsia" w:ascii="宋体" w:hAnsi="宋体" w:eastAsia="宋体" w:cs="宋体"/>
                <w:spacing w:val="6"/>
                <w:sz w:val="21"/>
                <w:szCs w:val="21"/>
              </w:rPr>
              <w:t>N=0.35</w:t>
            </w:r>
            <w:r>
              <w:rPr>
                <w:rFonts w:hint="eastAsia" w:ascii="宋体" w:hAnsi="宋体" w:eastAsia="宋体" w:cs="宋体"/>
                <w:spacing w:val="6"/>
                <w:sz w:val="21"/>
                <w:szCs w:val="21"/>
                <w:lang w:eastAsia="zh-CN"/>
              </w:rPr>
              <w:t>kW</w:t>
            </w:r>
          </w:p>
        </w:tc>
        <w:tc>
          <w:tcPr>
            <w:tcW w:w="0" w:type="auto"/>
            <w:tcBorders>
              <w:tl2br w:val="nil"/>
              <w:tr2bl w:val="nil"/>
            </w:tcBorders>
            <w:vAlign w:val="center"/>
          </w:tcPr>
          <w:p w14:paraId="50DFE914">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台</w:t>
            </w:r>
          </w:p>
        </w:tc>
        <w:tc>
          <w:tcPr>
            <w:tcW w:w="0" w:type="auto"/>
            <w:tcBorders>
              <w:tl2br w:val="nil"/>
              <w:tr2bl w:val="nil"/>
            </w:tcBorders>
            <w:vAlign w:val="center"/>
          </w:tcPr>
          <w:p w14:paraId="2F29ED96">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0C65DE7B">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64D7719C">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6ACCAB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5CD16F67">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397" w:type="dxa"/>
            <w:tcBorders>
              <w:tl2br w:val="nil"/>
              <w:tr2bl w:val="nil"/>
            </w:tcBorders>
            <w:shd w:val="clear" w:color="auto" w:fill="auto"/>
            <w:vAlign w:val="center"/>
          </w:tcPr>
          <w:p w14:paraId="3832D818">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6"/>
                <w:sz w:val="21"/>
                <w:szCs w:val="21"/>
              </w:rPr>
              <w:t>计量泵</w:t>
            </w:r>
          </w:p>
        </w:tc>
        <w:tc>
          <w:tcPr>
            <w:tcW w:w="0" w:type="auto"/>
            <w:tcBorders>
              <w:tl2br w:val="nil"/>
              <w:tr2bl w:val="nil"/>
            </w:tcBorders>
            <w:shd w:val="clear" w:color="auto" w:fill="auto"/>
            <w:vAlign w:val="center"/>
          </w:tcPr>
          <w:p w14:paraId="7D2EACC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1"/>
                <w:sz w:val="21"/>
                <w:szCs w:val="21"/>
              </w:rPr>
              <w:t>Q=350L/h，扬程7bar，</w:t>
            </w:r>
            <w:r>
              <w:rPr>
                <w:rFonts w:hint="eastAsia" w:ascii="宋体" w:hAnsi="宋体" w:eastAsia="宋体" w:cs="宋体"/>
                <w:spacing w:val="6"/>
                <w:sz w:val="21"/>
                <w:szCs w:val="21"/>
              </w:rPr>
              <w:t>N=0.25</w:t>
            </w:r>
            <w:r>
              <w:rPr>
                <w:rFonts w:hint="eastAsia" w:ascii="宋体" w:hAnsi="宋体" w:eastAsia="宋体" w:cs="宋体"/>
                <w:sz w:val="21"/>
                <w:szCs w:val="21"/>
              </w:rPr>
              <w:t>kW</w:t>
            </w:r>
          </w:p>
        </w:tc>
        <w:tc>
          <w:tcPr>
            <w:tcW w:w="0" w:type="auto"/>
            <w:tcBorders>
              <w:tl2br w:val="nil"/>
              <w:tr2bl w:val="nil"/>
            </w:tcBorders>
            <w:shd w:val="clear" w:color="auto" w:fill="auto"/>
            <w:vAlign w:val="center"/>
          </w:tcPr>
          <w:p w14:paraId="234ACAAF">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rPr>
              <w:t>台</w:t>
            </w:r>
          </w:p>
        </w:tc>
        <w:tc>
          <w:tcPr>
            <w:tcW w:w="0" w:type="auto"/>
            <w:tcBorders>
              <w:tl2br w:val="nil"/>
              <w:tr2bl w:val="nil"/>
            </w:tcBorders>
            <w:shd w:val="clear" w:color="auto" w:fill="auto"/>
            <w:vAlign w:val="center"/>
          </w:tcPr>
          <w:p w14:paraId="05254015">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1</w:t>
            </w:r>
          </w:p>
        </w:tc>
        <w:tc>
          <w:tcPr>
            <w:tcW w:w="0" w:type="auto"/>
            <w:tcBorders>
              <w:tl2br w:val="nil"/>
              <w:tr2bl w:val="nil"/>
            </w:tcBorders>
            <w:shd w:val="clear" w:color="auto" w:fill="auto"/>
            <w:vAlign w:val="center"/>
          </w:tcPr>
          <w:p w14:paraId="7B8D176D">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4972D9BD">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4DC400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127DC430">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1397" w:type="dxa"/>
            <w:tcBorders>
              <w:tl2br w:val="nil"/>
              <w:tr2bl w:val="nil"/>
            </w:tcBorders>
            <w:shd w:val="clear" w:color="auto" w:fill="auto"/>
            <w:vAlign w:val="center"/>
          </w:tcPr>
          <w:p w14:paraId="4099E217">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6"/>
                <w:sz w:val="21"/>
                <w:szCs w:val="21"/>
              </w:rPr>
              <w:t>投加泵</w:t>
            </w:r>
          </w:p>
        </w:tc>
        <w:tc>
          <w:tcPr>
            <w:tcW w:w="0" w:type="auto"/>
            <w:tcBorders>
              <w:tl2br w:val="nil"/>
              <w:tr2bl w:val="nil"/>
            </w:tcBorders>
            <w:shd w:val="clear" w:color="auto" w:fill="auto"/>
            <w:vAlign w:val="center"/>
          </w:tcPr>
          <w:p w14:paraId="4D2EF107">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2"/>
                <w:sz w:val="21"/>
                <w:szCs w:val="21"/>
              </w:rPr>
              <w:t>1500L/h,7</w:t>
            </w:r>
            <w:r>
              <w:rPr>
                <w:rFonts w:hint="eastAsia" w:ascii="宋体" w:hAnsi="宋体" w:eastAsia="宋体" w:cs="宋体"/>
                <w:sz w:val="21"/>
                <w:szCs w:val="21"/>
              </w:rPr>
              <w:t>bar</w:t>
            </w:r>
          </w:p>
        </w:tc>
        <w:tc>
          <w:tcPr>
            <w:tcW w:w="0" w:type="auto"/>
            <w:tcBorders>
              <w:tl2br w:val="nil"/>
              <w:tr2bl w:val="nil"/>
            </w:tcBorders>
            <w:shd w:val="clear" w:color="auto" w:fill="auto"/>
            <w:vAlign w:val="center"/>
          </w:tcPr>
          <w:p w14:paraId="5C4AAAF2">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rPr>
              <w:t>台</w:t>
            </w:r>
          </w:p>
        </w:tc>
        <w:tc>
          <w:tcPr>
            <w:tcW w:w="0" w:type="auto"/>
            <w:tcBorders>
              <w:tl2br w:val="nil"/>
              <w:tr2bl w:val="nil"/>
            </w:tcBorders>
            <w:shd w:val="clear" w:color="auto" w:fill="auto"/>
            <w:vAlign w:val="center"/>
          </w:tcPr>
          <w:p w14:paraId="39E55D9A">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1</w:t>
            </w:r>
          </w:p>
        </w:tc>
        <w:tc>
          <w:tcPr>
            <w:tcW w:w="0" w:type="auto"/>
            <w:tcBorders>
              <w:tl2br w:val="nil"/>
              <w:tr2bl w:val="nil"/>
            </w:tcBorders>
            <w:shd w:val="clear" w:color="auto" w:fill="auto"/>
            <w:vAlign w:val="center"/>
          </w:tcPr>
          <w:p w14:paraId="2E569B0D">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4C18A376">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4BEC21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7EB9F39E">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十一</w:t>
            </w:r>
          </w:p>
        </w:tc>
        <w:tc>
          <w:tcPr>
            <w:tcW w:w="7836" w:type="dxa"/>
            <w:gridSpan w:val="6"/>
            <w:tcBorders>
              <w:tl2br w:val="nil"/>
              <w:tr2bl w:val="nil"/>
            </w:tcBorders>
            <w:vAlign w:val="center"/>
          </w:tcPr>
          <w:p w14:paraId="29D169B0">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pacing w:val="7"/>
                <w:sz w:val="21"/>
                <w:szCs w:val="21"/>
              </w:rPr>
              <w:t>鼓风机房</w:t>
            </w:r>
          </w:p>
        </w:tc>
      </w:tr>
      <w:tr w14:paraId="481B77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64F4FE95">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397" w:type="dxa"/>
            <w:tcBorders>
              <w:tl2br w:val="nil"/>
              <w:tr2bl w:val="nil"/>
            </w:tcBorders>
            <w:shd w:val="clear" w:color="auto" w:fill="auto"/>
            <w:vAlign w:val="center"/>
          </w:tcPr>
          <w:p w14:paraId="67E0CF93">
            <w:pPr>
              <w:keepNext w:val="0"/>
              <w:keepLines w:val="0"/>
              <w:pageBreakBefore w:val="0"/>
              <w:kinsoku/>
              <w:wordWrap/>
              <w:overflowPunct/>
              <w:topLinePunct w:val="0"/>
              <w:autoSpaceDE/>
              <w:autoSpaceDN/>
              <w:bidi w:val="0"/>
              <w:adjustRightInd/>
              <w:snapToGrid w:val="0"/>
              <w:spacing w:line="240" w:lineRule="auto"/>
              <w:ind w:right="104" w:righ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8"/>
                <w:sz w:val="21"/>
                <w:szCs w:val="21"/>
              </w:rPr>
              <w:t>磁悬浮离心鼓</w:t>
            </w:r>
            <w:r>
              <w:rPr>
                <w:rFonts w:hint="eastAsia" w:ascii="宋体" w:hAnsi="宋体" w:eastAsia="宋体" w:cs="宋体"/>
                <w:spacing w:val="4"/>
                <w:sz w:val="21"/>
                <w:szCs w:val="21"/>
              </w:rPr>
              <w:t>风机</w:t>
            </w:r>
          </w:p>
        </w:tc>
        <w:tc>
          <w:tcPr>
            <w:tcW w:w="0" w:type="auto"/>
            <w:tcBorders>
              <w:tl2br w:val="nil"/>
              <w:tr2bl w:val="nil"/>
            </w:tcBorders>
            <w:shd w:val="clear" w:color="auto" w:fill="auto"/>
            <w:vAlign w:val="center"/>
          </w:tcPr>
          <w:p w14:paraId="5C123B0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1"/>
                <w:sz w:val="21"/>
                <w:szCs w:val="21"/>
              </w:rPr>
              <w:t>Q=63m</w:t>
            </w:r>
            <w:r>
              <w:rPr>
                <w:rFonts w:hint="eastAsia" w:ascii="宋体" w:hAnsi="宋体" w:eastAsia="宋体" w:cs="宋体"/>
                <w:spacing w:val="-2"/>
                <w:sz w:val="21"/>
                <w:szCs w:val="21"/>
                <w:vertAlign w:val="superscript"/>
                <w:lang w:val="en-US" w:eastAsia="zh-CN"/>
              </w:rPr>
              <w:t>3</w:t>
            </w:r>
            <w:r>
              <w:rPr>
                <w:rFonts w:hint="eastAsia" w:ascii="宋体" w:hAnsi="宋体" w:eastAsia="宋体" w:cs="宋体"/>
                <w:spacing w:val="1"/>
                <w:sz w:val="21"/>
                <w:szCs w:val="21"/>
              </w:rPr>
              <w:t>/</w:t>
            </w:r>
            <w:r>
              <w:rPr>
                <w:rFonts w:hint="eastAsia" w:ascii="宋体" w:hAnsi="宋体" w:eastAsia="宋体" w:cs="宋体"/>
                <w:sz w:val="21"/>
                <w:szCs w:val="21"/>
              </w:rPr>
              <w:t>min</w:t>
            </w:r>
            <w:r>
              <w:rPr>
                <w:rFonts w:hint="eastAsia" w:ascii="宋体" w:hAnsi="宋体" w:eastAsia="宋体" w:cs="宋体"/>
                <w:sz w:val="21"/>
                <w:szCs w:val="21"/>
                <w:lang w:eastAsia="zh-CN"/>
              </w:rPr>
              <w:t>,</w:t>
            </w:r>
            <w:r>
              <w:rPr>
                <w:rFonts w:hint="eastAsia" w:ascii="宋体" w:hAnsi="宋体" w:eastAsia="宋体" w:cs="宋体"/>
                <w:spacing w:val="1"/>
                <w:sz w:val="21"/>
                <w:szCs w:val="21"/>
              </w:rPr>
              <w:t>P=6.6m</w:t>
            </w:r>
            <w:r>
              <w:rPr>
                <w:rFonts w:hint="eastAsia" w:ascii="宋体" w:hAnsi="宋体" w:eastAsia="宋体" w:cs="宋体"/>
                <w:spacing w:val="1"/>
                <w:sz w:val="21"/>
                <w:szCs w:val="21"/>
                <w:lang w:eastAsia="zh-CN"/>
              </w:rPr>
              <w:t>,</w:t>
            </w:r>
            <w:r>
              <w:rPr>
                <w:rFonts w:hint="eastAsia" w:ascii="宋体" w:hAnsi="宋体" w:eastAsia="宋体" w:cs="宋体"/>
                <w:spacing w:val="7"/>
                <w:sz w:val="21"/>
                <w:szCs w:val="21"/>
              </w:rPr>
              <w:t>N=90</w:t>
            </w:r>
            <w:r>
              <w:rPr>
                <w:rFonts w:hint="eastAsia" w:ascii="宋体" w:hAnsi="宋体" w:eastAsia="宋体" w:cs="宋体"/>
                <w:spacing w:val="7"/>
                <w:sz w:val="21"/>
                <w:szCs w:val="21"/>
                <w:lang w:eastAsia="zh-CN"/>
              </w:rPr>
              <w:t>kW</w:t>
            </w:r>
          </w:p>
        </w:tc>
        <w:tc>
          <w:tcPr>
            <w:tcW w:w="0" w:type="auto"/>
            <w:tcBorders>
              <w:tl2br w:val="nil"/>
              <w:tr2bl w:val="nil"/>
            </w:tcBorders>
            <w:vAlign w:val="center"/>
          </w:tcPr>
          <w:p w14:paraId="4078D07D">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0" w:type="auto"/>
            <w:tcBorders>
              <w:tl2br w:val="nil"/>
              <w:tr2bl w:val="nil"/>
            </w:tcBorders>
            <w:vAlign w:val="center"/>
          </w:tcPr>
          <w:p w14:paraId="057EF1BE">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5DD224D1">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22C5E26B">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16429D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2793E00A">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397" w:type="dxa"/>
            <w:tcBorders>
              <w:tl2br w:val="nil"/>
              <w:tr2bl w:val="nil"/>
            </w:tcBorders>
            <w:shd w:val="clear" w:color="auto" w:fill="auto"/>
            <w:vAlign w:val="center"/>
          </w:tcPr>
          <w:p w14:paraId="21E98A5C">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7"/>
                <w:sz w:val="21"/>
                <w:szCs w:val="21"/>
              </w:rPr>
              <w:t>手动蝶阀</w:t>
            </w:r>
          </w:p>
        </w:tc>
        <w:tc>
          <w:tcPr>
            <w:tcW w:w="0" w:type="auto"/>
            <w:tcBorders>
              <w:tl2br w:val="nil"/>
              <w:tr2bl w:val="nil"/>
            </w:tcBorders>
            <w:shd w:val="clear" w:color="auto" w:fill="auto"/>
            <w:vAlign w:val="center"/>
          </w:tcPr>
          <w:p w14:paraId="0202AD6D">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DN</w:t>
            </w:r>
            <w:r>
              <w:rPr>
                <w:rFonts w:hint="eastAsia" w:ascii="宋体" w:hAnsi="宋体" w:eastAsia="宋体" w:cs="宋体"/>
                <w:spacing w:val="7"/>
                <w:sz w:val="21"/>
                <w:szCs w:val="21"/>
              </w:rPr>
              <w:t>200</w:t>
            </w:r>
          </w:p>
        </w:tc>
        <w:tc>
          <w:tcPr>
            <w:tcW w:w="0" w:type="auto"/>
            <w:tcBorders>
              <w:tl2br w:val="nil"/>
              <w:tr2bl w:val="nil"/>
            </w:tcBorders>
            <w:shd w:val="clear" w:color="auto" w:fill="auto"/>
            <w:vAlign w:val="center"/>
          </w:tcPr>
          <w:p w14:paraId="1B78BE24">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个</w:t>
            </w:r>
          </w:p>
        </w:tc>
        <w:tc>
          <w:tcPr>
            <w:tcW w:w="0" w:type="auto"/>
            <w:tcBorders>
              <w:tl2br w:val="nil"/>
              <w:tr2bl w:val="nil"/>
            </w:tcBorders>
            <w:vAlign w:val="center"/>
          </w:tcPr>
          <w:p w14:paraId="10FC631C">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20EEBFE6">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55480F1D">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3CFD0F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2AF3312E">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1397" w:type="dxa"/>
            <w:tcBorders>
              <w:tl2br w:val="nil"/>
              <w:tr2bl w:val="nil"/>
            </w:tcBorders>
            <w:shd w:val="clear" w:color="auto" w:fill="auto"/>
            <w:vAlign w:val="center"/>
          </w:tcPr>
          <w:p w14:paraId="40D83DA2">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6"/>
                <w:sz w:val="21"/>
                <w:szCs w:val="21"/>
              </w:rPr>
              <w:t>止回阀</w:t>
            </w:r>
          </w:p>
        </w:tc>
        <w:tc>
          <w:tcPr>
            <w:tcW w:w="0" w:type="auto"/>
            <w:tcBorders>
              <w:tl2br w:val="nil"/>
              <w:tr2bl w:val="nil"/>
            </w:tcBorders>
            <w:shd w:val="clear" w:color="auto" w:fill="auto"/>
            <w:vAlign w:val="center"/>
          </w:tcPr>
          <w:p w14:paraId="10A97D1A">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DN</w:t>
            </w:r>
            <w:r>
              <w:rPr>
                <w:rFonts w:hint="eastAsia" w:ascii="宋体" w:hAnsi="宋体" w:eastAsia="宋体" w:cs="宋体"/>
                <w:spacing w:val="7"/>
                <w:sz w:val="21"/>
                <w:szCs w:val="21"/>
              </w:rPr>
              <w:t>200</w:t>
            </w:r>
          </w:p>
        </w:tc>
        <w:tc>
          <w:tcPr>
            <w:tcW w:w="0" w:type="auto"/>
            <w:tcBorders>
              <w:tl2br w:val="nil"/>
              <w:tr2bl w:val="nil"/>
            </w:tcBorders>
            <w:shd w:val="clear" w:color="auto" w:fill="auto"/>
            <w:vAlign w:val="center"/>
          </w:tcPr>
          <w:p w14:paraId="5050914F">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个</w:t>
            </w:r>
          </w:p>
        </w:tc>
        <w:tc>
          <w:tcPr>
            <w:tcW w:w="0" w:type="auto"/>
            <w:tcBorders>
              <w:tl2br w:val="nil"/>
              <w:tr2bl w:val="nil"/>
            </w:tcBorders>
            <w:vAlign w:val="center"/>
          </w:tcPr>
          <w:p w14:paraId="5CAE34D2">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13317F7E">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255F0CAA">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14:paraId="6A986A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698F632C">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p>
        </w:tc>
        <w:tc>
          <w:tcPr>
            <w:tcW w:w="1397" w:type="dxa"/>
            <w:tcBorders>
              <w:tl2br w:val="nil"/>
              <w:tr2bl w:val="nil"/>
            </w:tcBorders>
            <w:shd w:val="clear" w:color="auto" w:fill="auto"/>
            <w:vAlign w:val="center"/>
          </w:tcPr>
          <w:p w14:paraId="7C0B5FE9">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7"/>
                <w:sz w:val="21"/>
                <w:szCs w:val="21"/>
              </w:rPr>
              <w:t>挠性接头</w:t>
            </w:r>
          </w:p>
        </w:tc>
        <w:tc>
          <w:tcPr>
            <w:tcW w:w="0" w:type="auto"/>
            <w:tcBorders>
              <w:tl2br w:val="nil"/>
              <w:tr2bl w:val="nil"/>
            </w:tcBorders>
            <w:shd w:val="clear" w:color="auto" w:fill="auto"/>
            <w:vAlign w:val="center"/>
          </w:tcPr>
          <w:p w14:paraId="6D97CF9C">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DN</w:t>
            </w:r>
            <w:r>
              <w:rPr>
                <w:rFonts w:hint="eastAsia" w:ascii="宋体" w:hAnsi="宋体" w:eastAsia="宋体" w:cs="宋体"/>
                <w:spacing w:val="7"/>
                <w:sz w:val="21"/>
                <w:szCs w:val="21"/>
              </w:rPr>
              <w:t>125</w:t>
            </w:r>
          </w:p>
        </w:tc>
        <w:tc>
          <w:tcPr>
            <w:tcW w:w="0" w:type="auto"/>
            <w:tcBorders>
              <w:tl2br w:val="nil"/>
              <w:tr2bl w:val="nil"/>
            </w:tcBorders>
            <w:shd w:val="clear" w:color="auto" w:fill="auto"/>
            <w:vAlign w:val="center"/>
          </w:tcPr>
          <w:p w14:paraId="686AE7C6">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个</w:t>
            </w:r>
          </w:p>
        </w:tc>
        <w:tc>
          <w:tcPr>
            <w:tcW w:w="0" w:type="auto"/>
            <w:tcBorders>
              <w:tl2br w:val="nil"/>
              <w:tr2bl w:val="nil"/>
            </w:tcBorders>
            <w:vAlign w:val="center"/>
          </w:tcPr>
          <w:p w14:paraId="33F05B8C">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609448E4">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0" w:type="auto"/>
            <w:tcBorders>
              <w:tl2br w:val="nil"/>
              <w:tr2bl w:val="nil"/>
            </w:tcBorders>
            <w:vAlign w:val="center"/>
          </w:tcPr>
          <w:p w14:paraId="35CC8C64">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bl>
    <w:p w14:paraId="0AC000B9">
      <w:pPr>
        <w:keepNext w:val="0"/>
        <w:keepLines w:val="0"/>
        <w:widowControl/>
        <w:suppressLineNumbers w:val="0"/>
        <w:jc w:val="center"/>
        <w:rPr>
          <w:b/>
          <w:bCs/>
        </w:rPr>
      </w:pPr>
      <w:r>
        <w:rPr>
          <w:rFonts w:hint="eastAsia" w:ascii="宋体" w:hAnsi="宋体" w:eastAsia="宋体" w:cs="宋体"/>
          <w:b/>
          <w:bCs/>
          <w:color w:val="000000"/>
          <w:kern w:val="0"/>
          <w:sz w:val="24"/>
          <w:szCs w:val="24"/>
          <w:lang w:val="en-US" w:eastAsia="zh-CN" w:bidi="ar"/>
        </w:rPr>
        <w:t xml:space="preserve">表3.2-3  </w:t>
      </w:r>
      <w:r>
        <w:rPr>
          <w:rFonts w:hint="eastAsia" w:ascii="宋体" w:hAnsi="宋体" w:cs="宋体"/>
          <w:b/>
          <w:bCs/>
          <w:color w:val="000000"/>
          <w:kern w:val="0"/>
          <w:sz w:val="24"/>
          <w:szCs w:val="24"/>
          <w:lang w:val="en-US" w:eastAsia="zh-CN" w:bidi="ar"/>
        </w:rPr>
        <w:t>一期</w:t>
      </w:r>
      <w:r>
        <w:rPr>
          <w:rFonts w:hint="eastAsia" w:ascii="宋体" w:hAnsi="宋体" w:eastAsia="宋体" w:cs="宋体"/>
          <w:b/>
          <w:bCs/>
          <w:color w:val="000000"/>
          <w:kern w:val="0"/>
          <w:sz w:val="24"/>
          <w:szCs w:val="24"/>
          <w:lang w:val="en-US" w:eastAsia="zh-CN" w:bidi="ar"/>
        </w:rPr>
        <w:t>二阶段实施建（构）筑物一览表</w:t>
      </w:r>
    </w:p>
    <w:tbl>
      <w:tblPr>
        <w:tblStyle w:val="20"/>
        <w:tblW w:w="499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97"/>
        <w:gridCol w:w="905"/>
        <w:gridCol w:w="1982"/>
        <w:gridCol w:w="649"/>
        <w:gridCol w:w="664"/>
        <w:gridCol w:w="891"/>
        <w:gridCol w:w="945"/>
        <w:gridCol w:w="942"/>
        <w:gridCol w:w="937"/>
      </w:tblGrid>
      <w:tr w14:paraId="1AA2F9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49" w:type="pct"/>
            <w:gridSpan w:val="8"/>
            <w:tcBorders>
              <w:tl2br w:val="nil"/>
              <w:tr2bl w:val="nil"/>
            </w:tcBorders>
            <w:vAlign w:val="center"/>
          </w:tcPr>
          <w:p w14:paraId="6B5E44C4">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环评设计</w:t>
            </w:r>
          </w:p>
        </w:tc>
        <w:tc>
          <w:tcPr>
            <w:tcW w:w="550" w:type="pct"/>
            <w:vMerge w:val="restart"/>
            <w:tcBorders>
              <w:tl2br w:val="nil"/>
              <w:tr2bl w:val="nil"/>
            </w:tcBorders>
            <w:vAlign w:val="center"/>
          </w:tcPr>
          <w:p w14:paraId="07F48021">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实际建设情况</w:t>
            </w:r>
          </w:p>
        </w:tc>
      </w:tr>
      <w:tr w14:paraId="7A77D5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1" w:type="pct"/>
            <w:tcBorders>
              <w:tl2br w:val="nil"/>
              <w:tr2bl w:val="nil"/>
            </w:tcBorders>
            <w:vAlign w:val="center"/>
          </w:tcPr>
          <w:p w14:paraId="592F6496">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序号</w:t>
            </w:r>
          </w:p>
        </w:tc>
        <w:tc>
          <w:tcPr>
            <w:tcW w:w="532" w:type="pct"/>
            <w:tcBorders>
              <w:tl2br w:val="nil"/>
              <w:tr2bl w:val="nil"/>
            </w:tcBorders>
            <w:vAlign w:val="center"/>
          </w:tcPr>
          <w:p w14:paraId="7702B5F7">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default"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名称</w:t>
            </w:r>
          </w:p>
        </w:tc>
        <w:tc>
          <w:tcPr>
            <w:tcW w:w="1164" w:type="pct"/>
            <w:tcBorders>
              <w:tl2br w:val="nil"/>
              <w:tr2bl w:val="nil"/>
            </w:tcBorders>
            <w:vAlign w:val="center"/>
          </w:tcPr>
          <w:p w14:paraId="56210D48">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default" w:ascii="宋体" w:hAnsi="宋体" w:eastAsia="宋体" w:cs="宋体"/>
                <w:b/>
                <w:bCs/>
                <w:kern w:val="2"/>
                <w:sz w:val="21"/>
                <w:szCs w:val="21"/>
                <w:vertAlign w:val="baseline"/>
                <w:lang w:val="en-US" w:eastAsia="zh-CN" w:bidi="ar-SA"/>
              </w:rPr>
            </w:pPr>
            <w:r>
              <w:rPr>
                <w:rFonts w:hint="eastAsia" w:ascii="宋体" w:hAnsi="宋体" w:eastAsia="宋体" w:cs="宋体"/>
                <w:b/>
                <w:bCs/>
                <w:kern w:val="2"/>
                <w:sz w:val="21"/>
                <w:szCs w:val="21"/>
                <w:vertAlign w:val="baseline"/>
                <w:lang w:val="en-US" w:eastAsia="zh-CN" w:bidi="ar-SA"/>
              </w:rPr>
              <w:t>规格型号</w:t>
            </w:r>
          </w:p>
        </w:tc>
        <w:tc>
          <w:tcPr>
            <w:tcW w:w="381" w:type="pct"/>
            <w:tcBorders>
              <w:tl2br w:val="nil"/>
              <w:tr2bl w:val="nil"/>
            </w:tcBorders>
            <w:vAlign w:val="center"/>
          </w:tcPr>
          <w:p w14:paraId="796626D8">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单位</w:t>
            </w:r>
          </w:p>
        </w:tc>
        <w:tc>
          <w:tcPr>
            <w:tcW w:w="390" w:type="pct"/>
            <w:tcBorders>
              <w:tl2br w:val="nil"/>
              <w:tr2bl w:val="nil"/>
            </w:tcBorders>
            <w:vAlign w:val="center"/>
          </w:tcPr>
          <w:p w14:paraId="169FA20D">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数量</w:t>
            </w:r>
          </w:p>
        </w:tc>
        <w:tc>
          <w:tcPr>
            <w:tcW w:w="523" w:type="pct"/>
            <w:tcBorders>
              <w:tl2br w:val="nil"/>
              <w:tr2bl w:val="nil"/>
            </w:tcBorders>
            <w:vAlign w:val="center"/>
          </w:tcPr>
          <w:p w14:paraId="069CD0B6">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土建规模（万m</w:t>
            </w:r>
            <w:r>
              <w:rPr>
                <w:rFonts w:hint="eastAsia" w:ascii="宋体" w:hAnsi="宋体" w:eastAsia="宋体" w:cs="宋体"/>
                <w:b/>
                <w:bCs/>
                <w:sz w:val="21"/>
                <w:szCs w:val="21"/>
                <w:vertAlign w:val="superscript"/>
                <w:lang w:val="en-US" w:eastAsia="zh-CN"/>
              </w:rPr>
              <w:t>3</w:t>
            </w:r>
            <w:r>
              <w:rPr>
                <w:rFonts w:hint="eastAsia" w:ascii="宋体" w:hAnsi="宋体" w:eastAsia="宋体" w:cs="宋体"/>
                <w:b/>
                <w:bCs/>
                <w:sz w:val="21"/>
                <w:szCs w:val="21"/>
                <w:vertAlign w:val="baseline"/>
                <w:lang w:val="en-US" w:eastAsia="zh-CN"/>
              </w:rPr>
              <w:t>/d）</w:t>
            </w:r>
          </w:p>
        </w:tc>
        <w:tc>
          <w:tcPr>
            <w:tcW w:w="555" w:type="pct"/>
            <w:tcBorders>
              <w:tl2br w:val="nil"/>
              <w:tr2bl w:val="nil"/>
            </w:tcBorders>
            <w:vAlign w:val="center"/>
          </w:tcPr>
          <w:p w14:paraId="0D3C903C">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设备规模（万m</w:t>
            </w:r>
            <w:r>
              <w:rPr>
                <w:rFonts w:hint="eastAsia" w:ascii="宋体" w:hAnsi="宋体" w:eastAsia="宋体" w:cs="宋体"/>
                <w:b/>
                <w:bCs/>
                <w:sz w:val="21"/>
                <w:szCs w:val="21"/>
                <w:vertAlign w:val="superscript"/>
                <w:lang w:val="en-US" w:eastAsia="zh-CN"/>
              </w:rPr>
              <w:t>3</w:t>
            </w:r>
            <w:r>
              <w:rPr>
                <w:rFonts w:hint="eastAsia" w:ascii="宋体" w:hAnsi="宋体" w:eastAsia="宋体" w:cs="宋体"/>
                <w:b/>
                <w:bCs/>
                <w:sz w:val="21"/>
                <w:szCs w:val="21"/>
                <w:vertAlign w:val="baseline"/>
                <w:lang w:val="en-US" w:eastAsia="zh-CN"/>
              </w:rPr>
              <w:t>/d）</w:t>
            </w:r>
          </w:p>
        </w:tc>
        <w:tc>
          <w:tcPr>
            <w:tcW w:w="552" w:type="pct"/>
            <w:tcBorders>
              <w:tl2br w:val="nil"/>
              <w:tr2bl w:val="nil"/>
            </w:tcBorders>
            <w:vAlign w:val="center"/>
          </w:tcPr>
          <w:p w14:paraId="0D8BE0C0">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备注</w:t>
            </w:r>
          </w:p>
        </w:tc>
        <w:tc>
          <w:tcPr>
            <w:tcW w:w="550" w:type="pct"/>
            <w:vMerge w:val="continue"/>
            <w:tcBorders>
              <w:tl2br w:val="nil"/>
              <w:tr2bl w:val="nil"/>
            </w:tcBorders>
            <w:vAlign w:val="center"/>
          </w:tcPr>
          <w:p w14:paraId="20742680">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bCs/>
                <w:sz w:val="21"/>
                <w:szCs w:val="21"/>
                <w:vertAlign w:val="baseline"/>
                <w:lang w:val="en-US" w:eastAsia="zh-CN"/>
              </w:rPr>
            </w:pPr>
          </w:p>
        </w:tc>
      </w:tr>
      <w:tr w14:paraId="697708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1" w:type="pct"/>
            <w:tcBorders>
              <w:tl2br w:val="nil"/>
              <w:tr2bl w:val="nil"/>
            </w:tcBorders>
            <w:vAlign w:val="center"/>
          </w:tcPr>
          <w:p w14:paraId="7428C381">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532" w:type="pct"/>
            <w:tcBorders>
              <w:tl2br w:val="nil"/>
              <w:tr2bl w:val="nil"/>
            </w:tcBorders>
            <w:vAlign w:val="center"/>
          </w:tcPr>
          <w:p w14:paraId="5F5B1C79">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氧化沟</w:t>
            </w:r>
          </w:p>
        </w:tc>
        <w:tc>
          <w:tcPr>
            <w:tcW w:w="1164" w:type="pct"/>
            <w:tcBorders>
              <w:tl2br w:val="nil"/>
              <w:tr2bl w:val="nil"/>
            </w:tcBorders>
            <w:vAlign w:val="center"/>
          </w:tcPr>
          <w:p w14:paraId="6C58F6A2">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default" w:ascii="宋体" w:hAnsi="宋体" w:eastAsia="宋体" w:cs="宋体"/>
                <w:kern w:val="2"/>
                <w:sz w:val="21"/>
                <w:szCs w:val="21"/>
                <w:vertAlign w:val="baseline"/>
                <w:lang w:val="en-US" w:eastAsia="zh-CN" w:bidi="ar-SA"/>
              </w:rPr>
            </w:pPr>
            <w:r>
              <w:rPr>
                <w:rFonts w:hint="eastAsia" w:ascii="宋体" w:hAnsi="宋体" w:eastAsia="宋体" w:cs="宋体"/>
                <w:color w:val="000000"/>
                <w:kern w:val="0"/>
                <w:sz w:val="21"/>
                <w:szCs w:val="21"/>
                <w:lang w:val="en-US" w:eastAsia="zh-CN" w:bidi="ar"/>
              </w:rPr>
              <w:t>L</w:t>
            </w:r>
            <w:r>
              <w:rPr>
                <w:rFonts w:hint="default"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B=52.0</w:t>
            </w:r>
            <w:r>
              <w:rPr>
                <w:rFonts w:hint="default"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21.1m</w:t>
            </w:r>
          </w:p>
        </w:tc>
        <w:tc>
          <w:tcPr>
            <w:tcW w:w="381" w:type="pct"/>
            <w:tcBorders>
              <w:tl2br w:val="nil"/>
              <w:tr2bl w:val="nil"/>
            </w:tcBorders>
            <w:vAlign w:val="center"/>
          </w:tcPr>
          <w:p w14:paraId="2929A384">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座</w:t>
            </w:r>
          </w:p>
        </w:tc>
        <w:tc>
          <w:tcPr>
            <w:tcW w:w="390" w:type="pct"/>
            <w:tcBorders>
              <w:tl2br w:val="nil"/>
              <w:tr2bl w:val="nil"/>
            </w:tcBorders>
            <w:vAlign w:val="center"/>
          </w:tcPr>
          <w:p w14:paraId="234515B3">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523" w:type="pct"/>
            <w:tcBorders>
              <w:tl2br w:val="nil"/>
              <w:tr2bl w:val="nil"/>
            </w:tcBorders>
            <w:vAlign w:val="center"/>
          </w:tcPr>
          <w:p w14:paraId="7567AE4B">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0.5</w:t>
            </w:r>
          </w:p>
        </w:tc>
        <w:tc>
          <w:tcPr>
            <w:tcW w:w="555" w:type="pct"/>
            <w:tcBorders>
              <w:tl2br w:val="nil"/>
              <w:tr2bl w:val="nil"/>
            </w:tcBorders>
            <w:vAlign w:val="center"/>
          </w:tcPr>
          <w:p w14:paraId="5FBF58FB">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0.5</w:t>
            </w:r>
          </w:p>
        </w:tc>
        <w:tc>
          <w:tcPr>
            <w:tcW w:w="552" w:type="pct"/>
            <w:tcBorders>
              <w:tl2br w:val="nil"/>
              <w:tr2bl w:val="nil"/>
            </w:tcBorders>
            <w:vAlign w:val="center"/>
          </w:tcPr>
          <w:p w14:paraId="21077C51">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二阶段实施</w:t>
            </w:r>
          </w:p>
        </w:tc>
        <w:tc>
          <w:tcPr>
            <w:tcW w:w="550" w:type="pct"/>
            <w:tcBorders>
              <w:tl2br w:val="nil"/>
              <w:tr2bl w:val="nil"/>
            </w:tcBorders>
            <w:vAlign w:val="center"/>
          </w:tcPr>
          <w:p w14:paraId="26A83179">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一致</w:t>
            </w:r>
          </w:p>
        </w:tc>
      </w:tr>
    </w:tbl>
    <w:p w14:paraId="585429E0">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1"/>
        <w:rPr>
          <w:sz w:val="28"/>
          <w:szCs w:val="28"/>
        </w:rPr>
      </w:pPr>
      <w:bookmarkStart w:id="17" w:name="_Toc22113"/>
      <w:r>
        <w:rPr>
          <w:rFonts w:hint="eastAsia" w:ascii="宋体" w:hAnsi="宋体" w:eastAsia="宋体" w:cs="宋体"/>
          <w:b/>
          <w:bCs/>
          <w:color w:val="000000"/>
          <w:kern w:val="0"/>
          <w:sz w:val="28"/>
          <w:szCs w:val="28"/>
          <w:lang w:val="en-US" w:eastAsia="zh-CN" w:bidi="ar"/>
        </w:rPr>
        <w:t>3.3  主要原辅材料及用量</w:t>
      </w:r>
      <w:bookmarkEnd w:id="17"/>
    </w:p>
    <w:p w14:paraId="43B235F3">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w:t>
      </w:r>
      <w:r>
        <w:rPr>
          <w:rFonts w:hint="default"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）主要原料消耗</w:t>
      </w:r>
    </w:p>
    <w:p w14:paraId="20D3090F">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rPr>
      </w:pPr>
      <w:r>
        <w:rPr>
          <w:rFonts w:hint="eastAsia" w:ascii="宋体" w:hAnsi="宋体" w:eastAsia="宋体" w:cs="宋体"/>
          <w:color w:val="000000"/>
          <w:kern w:val="0"/>
          <w:sz w:val="24"/>
          <w:szCs w:val="24"/>
          <w:lang w:val="en-US" w:eastAsia="zh-CN" w:bidi="ar"/>
        </w:rPr>
        <w:t>本项目原辅材料年用量见表3.3-1。</w:t>
      </w:r>
    </w:p>
    <w:p w14:paraId="48118457">
      <w:pPr>
        <w:keepNext w:val="0"/>
        <w:keepLines w:val="0"/>
        <w:widowControl/>
        <w:suppressLineNumbers w:val="0"/>
        <w:jc w:val="center"/>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表3.3-1  原辅材料及设计年用量</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3"/>
        <w:gridCol w:w="1113"/>
        <w:gridCol w:w="1350"/>
        <w:gridCol w:w="2164"/>
        <w:gridCol w:w="650"/>
        <w:gridCol w:w="732"/>
        <w:gridCol w:w="684"/>
        <w:gridCol w:w="1342"/>
      </w:tblGrid>
      <w:tr w14:paraId="18C0D7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83" w:type="dxa"/>
            <w:vMerge w:val="restart"/>
            <w:tcBorders>
              <w:tl2br w:val="nil"/>
              <w:tr2bl w:val="nil"/>
            </w:tcBorders>
            <w:vAlign w:val="center"/>
          </w:tcPr>
          <w:p w14:paraId="5898C7C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序号</w:t>
            </w:r>
          </w:p>
        </w:tc>
        <w:tc>
          <w:tcPr>
            <w:tcW w:w="1113" w:type="dxa"/>
            <w:vMerge w:val="restart"/>
            <w:tcBorders>
              <w:tl2br w:val="nil"/>
              <w:tr2bl w:val="nil"/>
            </w:tcBorders>
            <w:vAlign w:val="center"/>
          </w:tcPr>
          <w:p w14:paraId="0DBC7D4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原辅料名称</w:t>
            </w:r>
          </w:p>
        </w:tc>
        <w:tc>
          <w:tcPr>
            <w:tcW w:w="1350" w:type="dxa"/>
            <w:vMerge w:val="restart"/>
            <w:tcBorders>
              <w:tl2br w:val="nil"/>
              <w:tr2bl w:val="nil"/>
            </w:tcBorders>
            <w:vAlign w:val="center"/>
          </w:tcPr>
          <w:p w14:paraId="7E837F1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主要成分</w:t>
            </w:r>
          </w:p>
        </w:tc>
        <w:tc>
          <w:tcPr>
            <w:tcW w:w="2164" w:type="dxa"/>
            <w:vMerge w:val="restart"/>
            <w:tcBorders>
              <w:tl2br w:val="nil"/>
              <w:tr2bl w:val="nil"/>
            </w:tcBorders>
            <w:vAlign w:val="center"/>
          </w:tcPr>
          <w:p w14:paraId="39E9852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包装规格</w:t>
            </w:r>
          </w:p>
        </w:tc>
        <w:tc>
          <w:tcPr>
            <w:tcW w:w="2066" w:type="dxa"/>
            <w:gridSpan w:val="3"/>
            <w:tcBorders>
              <w:tl2br w:val="nil"/>
              <w:tr2bl w:val="nil"/>
            </w:tcBorders>
            <w:vAlign w:val="center"/>
          </w:tcPr>
          <w:p w14:paraId="28D947B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年消耗量（t/a）</w:t>
            </w:r>
          </w:p>
        </w:tc>
        <w:tc>
          <w:tcPr>
            <w:tcW w:w="1342" w:type="dxa"/>
            <w:vMerge w:val="restart"/>
            <w:tcBorders>
              <w:tl2br w:val="nil"/>
              <w:tr2bl w:val="nil"/>
            </w:tcBorders>
            <w:vAlign w:val="center"/>
          </w:tcPr>
          <w:p w14:paraId="2985E4A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t>来源</w:t>
            </w:r>
          </w:p>
        </w:tc>
      </w:tr>
      <w:tr w14:paraId="5520E5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83" w:type="dxa"/>
            <w:vMerge w:val="continue"/>
            <w:tcBorders>
              <w:tl2br w:val="nil"/>
              <w:tr2bl w:val="nil"/>
            </w:tcBorders>
            <w:vAlign w:val="center"/>
          </w:tcPr>
          <w:p w14:paraId="7482856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sz w:val="21"/>
                <w:szCs w:val="21"/>
                <w:vertAlign w:val="baseline"/>
                <w:lang w:val="en-US" w:eastAsia="zh-CN"/>
              </w:rPr>
            </w:pPr>
          </w:p>
        </w:tc>
        <w:tc>
          <w:tcPr>
            <w:tcW w:w="1113" w:type="dxa"/>
            <w:vMerge w:val="continue"/>
            <w:tcBorders>
              <w:tl2br w:val="nil"/>
              <w:tr2bl w:val="nil"/>
            </w:tcBorders>
            <w:vAlign w:val="center"/>
          </w:tcPr>
          <w:p w14:paraId="40CF71F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sz w:val="21"/>
                <w:szCs w:val="21"/>
                <w:vertAlign w:val="baseline"/>
                <w:lang w:val="en-US" w:eastAsia="zh-CN"/>
              </w:rPr>
            </w:pPr>
          </w:p>
        </w:tc>
        <w:tc>
          <w:tcPr>
            <w:tcW w:w="1350" w:type="dxa"/>
            <w:vMerge w:val="continue"/>
            <w:tcBorders>
              <w:tl2br w:val="nil"/>
              <w:tr2bl w:val="nil"/>
            </w:tcBorders>
            <w:vAlign w:val="center"/>
          </w:tcPr>
          <w:p w14:paraId="260F29F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sz w:val="21"/>
                <w:szCs w:val="21"/>
                <w:vertAlign w:val="baseline"/>
                <w:lang w:val="en-US" w:eastAsia="zh-CN"/>
              </w:rPr>
            </w:pPr>
          </w:p>
        </w:tc>
        <w:tc>
          <w:tcPr>
            <w:tcW w:w="2164" w:type="dxa"/>
            <w:vMerge w:val="continue"/>
            <w:tcBorders>
              <w:tl2br w:val="nil"/>
              <w:tr2bl w:val="nil"/>
            </w:tcBorders>
            <w:vAlign w:val="center"/>
          </w:tcPr>
          <w:p w14:paraId="23B59E6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sz w:val="21"/>
                <w:szCs w:val="21"/>
                <w:vertAlign w:val="baseline"/>
                <w:lang w:val="en-US" w:eastAsia="zh-CN"/>
              </w:rPr>
            </w:pPr>
          </w:p>
        </w:tc>
        <w:tc>
          <w:tcPr>
            <w:tcW w:w="650" w:type="dxa"/>
            <w:tcBorders>
              <w:tl2br w:val="nil"/>
              <w:tr2bl w:val="nil"/>
            </w:tcBorders>
            <w:vAlign w:val="center"/>
          </w:tcPr>
          <w:p w14:paraId="37B5132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环评预估</w:t>
            </w:r>
          </w:p>
        </w:tc>
        <w:tc>
          <w:tcPr>
            <w:tcW w:w="732" w:type="dxa"/>
            <w:tcBorders>
              <w:tl2br w:val="nil"/>
              <w:tr2bl w:val="nil"/>
            </w:tcBorders>
            <w:vAlign w:val="center"/>
          </w:tcPr>
          <w:p w14:paraId="62B2FEF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实际用量</w:t>
            </w:r>
          </w:p>
        </w:tc>
        <w:tc>
          <w:tcPr>
            <w:tcW w:w="684" w:type="dxa"/>
            <w:tcBorders>
              <w:tl2br w:val="nil"/>
              <w:tr2bl w:val="nil"/>
            </w:tcBorders>
            <w:vAlign w:val="center"/>
          </w:tcPr>
          <w:p w14:paraId="3FBD5E2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变化量</w:t>
            </w:r>
          </w:p>
        </w:tc>
        <w:tc>
          <w:tcPr>
            <w:tcW w:w="1342" w:type="dxa"/>
            <w:vMerge w:val="continue"/>
            <w:tcBorders>
              <w:tl2br w:val="nil"/>
              <w:tr2bl w:val="nil"/>
            </w:tcBorders>
            <w:vAlign w:val="center"/>
          </w:tcPr>
          <w:p w14:paraId="0B5AB69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rPr>
            </w:pPr>
          </w:p>
        </w:tc>
      </w:tr>
      <w:tr w14:paraId="5FD278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83" w:type="dxa"/>
            <w:tcBorders>
              <w:tl2br w:val="nil"/>
              <w:tr2bl w:val="nil"/>
            </w:tcBorders>
            <w:vAlign w:val="center"/>
          </w:tcPr>
          <w:p w14:paraId="415EA6E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113" w:type="dxa"/>
            <w:tcBorders>
              <w:tl2br w:val="nil"/>
              <w:tr2bl w:val="nil"/>
            </w:tcBorders>
            <w:vAlign w:val="center"/>
          </w:tcPr>
          <w:p w14:paraId="5CF977E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PAC</w:t>
            </w:r>
          </w:p>
        </w:tc>
        <w:tc>
          <w:tcPr>
            <w:tcW w:w="1350" w:type="dxa"/>
            <w:tcBorders>
              <w:tl2br w:val="nil"/>
              <w:tr2bl w:val="nil"/>
            </w:tcBorders>
            <w:vAlign w:val="center"/>
          </w:tcPr>
          <w:p w14:paraId="173E958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AlCl</w:t>
            </w:r>
          </w:p>
        </w:tc>
        <w:tc>
          <w:tcPr>
            <w:tcW w:w="2164" w:type="dxa"/>
            <w:tcBorders>
              <w:tl2br w:val="nil"/>
              <w:tr2bl w:val="nil"/>
            </w:tcBorders>
            <w:vAlign w:val="center"/>
          </w:tcPr>
          <w:p w14:paraId="5852D71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sz w:val="21"/>
                <w:szCs w:val="21"/>
                <w:vertAlign w:val="baseline"/>
                <w:lang w:val="en-US" w:eastAsia="zh-CN"/>
              </w:rPr>
              <w:t>25kg/袋；储药罐体积V=4m</w:t>
            </w:r>
            <w:r>
              <w:rPr>
                <w:rFonts w:hint="eastAsia" w:ascii="宋体" w:hAnsi="宋体" w:eastAsia="宋体" w:cs="宋体"/>
                <w:sz w:val="21"/>
                <w:szCs w:val="21"/>
                <w:vertAlign w:val="superscript"/>
                <w:lang w:val="en-US" w:eastAsia="zh-CN"/>
              </w:rPr>
              <w:t>3</w:t>
            </w:r>
          </w:p>
        </w:tc>
        <w:tc>
          <w:tcPr>
            <w:tcW w:w="650" w:type="dxa"/>
            <w:tcBorders>
              <w:tl2br w:val="nil"/>
              <w:tr2bl w:val="nil"/>
            </w:tcBorders>
            <w:vAlign w:val="center"/>
          </w:tcPr>
          <w:p w14:paraId="23FF743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36.5</w:t>
            </w:r>
          </w:p>
        </w:tc>
        <w:tc>
          <w:tcPr>
            <w:tcW w:w="732" w:type="dxa"/>
            <w:tcBorders>
              <w:tl2br w:val="nil"/>
              <w:tr2bl w:val="nil"/>
            </w:tcBorders>
            <w:vAlign w:val="center"/>
          </w:tcPr>
          <w:p w14:paraId="7645F85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33.1</w:t>
            </w:r>
          </w:p>
        </w:tc>
        <w:tc>
          <w:tcPr>
            <w:tcW w:w="684" w:type="dxa"/>
            <w:tcBorders>
              <w:tl2br w:val="nil"/>
              <w:tr2bl w:val="nil"/>
            </w:tcBorders>
            <w:vAlign w:val="center"/>
          </w:tcPr>
          <w:p w14:paraId="606AFB9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3.4</w:t>
            </w:r>
          </w:p>
        </w:tc>
        <w:tc>
          <w:tcPr>
            <w:tcW w:w="1342" w:type="dxa"/>
            <w:tcBorders>
              <w:tl2br w:val="nil"/>
              <w:tr2bl w:val="nil"/>
            </w:tcBorders>
            <w:vAlign w:val="center"/>
          </w:tcPr>
          <w:p w14:paraId="39457A9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外购、汽运、袋装存放</w:t>
            </w:r>
          </w:p>
        </w:tc>
      </w:tr>
      <w:tr w14:paraId="0942C4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83" w:type="dxa"/>
            <w:tcBorders>
              <w:tl2br w:val="nil"/>
              <w:tr2bl w:val="nil"/>
            </w:tcBorders>
            <w:vAlign w:val="center"/>
          </w:tcPr>
          <w:p w14:paraId="11833A0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113" w:type="dxa"/>
            <w:tcBorders>
              <w:tl2br w:val="nil"/>
              <w:tr2bl w:val="nil"/>
            </w:tcBorders>
            <w:vAlign w:val="center"/>
          </w:tcPr>
          <w:p w14:paraId="2F3B633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醋酸钠</w:t>
            </w:r>
          </w:p>
        </w:tc>
        <w:tc>
          <w:tcPr>
            <w:tcW w:w="1350" w:type="dxa"/>
            <w:tcBorders>
              <w:tl2br w:val="nil"/>
              <w:tr2bl w:val="nil"/>
            </w:tcBorders>
            <w:vAlign w:val="center"/>
          </w:tcPr>
          <w:p w14:paraId="64E3380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醋酸钠</w:t>
            </w:r>
          </w:p>
        </w:tc>
        <w:tc>
          <w:tcPr>
            <w:tcW w:w="2164" w:type="dxa"/>
            <w:tcBorders>
              <w:tl2br w:val="nil"/>
              <w:tr2bl w:val="nil"/>
            </w:tcBorders>
            <w:vAlign w:val="center"/>
          </w:tcPr>
          <w:p w14:paraId="7AEF8B9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5kg/袋；碳源储药罐体积V=4m</w:t>
            </w:r>
            <w:r>
              <w:rPr>
                <w:rFonts w:hint="eastAsia" w:ascii="宋体" w:hAnsi="宋体" w:eastAsia="宋体" w:cs="宋体"/>
                <w:sz w:val="21"/>
                <w:szCs w:val="21"/>
                <w:vertAlign w:val="superscript"/>
                <w:lang w:val="en-US" w:eastAsia="zh-CN"/>
              </w:rPr>
              <w:t>3</w:t>
            </w:r>
          </w:p>
        </w:tc>
        <w:tc>
          <w:tcPr>
            <w:tcW w:w="650" w:type="dxa"/>
            <w:tcBorders>
              <w:tl2br w:val="nil"/>
              <w:tr2bl w:val="nil"/>
            </w:tcBorders>
            <w:vAlign w:val="center"/>
          </w:tcPr>
          <w:p w14:paraId="433228F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29.2</w:t>
            </w:r>
          </w:p>
        </w:tc>
        <w:tc>
          <w:tcPr>
            <w:tcW w:w="732" w:type="dxa"/>
            <w:tcBorders>
              <w:tl2br w:val="nil"/>
              <w:tr2bl w:val="nil"/>
            </w:tcBorders>
            <w:vAlign w:val="center"/>
          </w:tcPr>
          <w:p w14:paraId="3FD7C53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26.7</w:t>
            </w:r>
          </w:p>
        </w:tc>
        <w:tc>
          <w:tcPr>
            <w:tcW w:w="684" w:type="dxa"/>
            <w:tcBorders>
              <w:tl2br w:val="nil"/>
              <w:tr2bl w:val="nil"/>
            </w:tcBorders>
            <w:vAlign w:val="center"/>
          </w:tcPr>
          <w:p w14:paraId="2295648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2.5</w:t>
            </w:r>
          </w:p>
        </w:tc>
        <w:tc>
          <w:tcPr>
            <w:tcW w:w="1342" w:type="dxa"/>
            <w:tcBorders>
              <w:tl2br w:val="nil"/>
              <w:tr2bl w:val="nil"/>
            </w:tcBorders>
            <w:vAlign w:val="center"/>
          </w:tcPr>
          <w:p w14:paraId="5AA6F1E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外购、汽运、袋装存放</w:t>
            </w:r>
          </w:p>
        </w:tc>
      </w:tr>
      <w:tr w14:paraId="7EC57A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83" w:type="dxa"/>
            <w:tcBorders>
              <w:tl2br w:val="nil"/>
              <w:tr2bl w:val="nil"/>
            </w:tcBorders>
            <w:vAlign w:val="center"/>
          </w:tcPr>
          <w:p w14:paraId="349FA7D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1113" w:type="dxa"/>
            <w:tcBorders>
              <w:tl2br w:val="nil"/>
              <w:tr2bl w:val="nil"/>
            </w:tcBorders>
            <w:vAlign w:val="center"/>
          </w:tcPr>
          <w:p w14:paraId="7C4AF20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次氯酸钠</w:t>
            </w:r>
          </w:p>
        </w:tc>
        <w:tc>
          <w:tcPr>
            <w:tcW w:w="1350" w:type="dxa"/>
            <w:tcBorders>
              <w:tl2br w:val="nil"/>
              <w:tr2bl w:val="nil"/>
            </w:tcBorders>
            <w:vAlign w:val="center"/>
          </w:tcPr>
          <w:p w14:paraId="115A29E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NaClO</w:t>
            </w:r>
          </w:p>
        </w:tc>
        <w:tc>
          <w:tcPr>
            <w:tcW w:w="2164" w:type="dxa"/>
            <w:tcBorders>
              <w:tl2br w:val="nil"/>
              <w:tr2bl w:val="nil"/>
            </w:tcBorders>
            <w:vAlign w:val="center"/>
          </w:tcPr>
          <w:p w14:paraId="22BA677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储药罐V＝20m</w:t>
            </w:r>
            <w:r>
              <w:rPr>
                <w:rFonts w:hint="eastAsia" w:ascii="宋体" w:hAnsi="宋体" w:eastAsia="宋体" w:cs="宋体"/>
                <w:sz w:val="21"/>
                <w:szCs w:val="21"/>
                <w:vertAlign w:val="superscript"/>
                <w:lang w:val="en-US" w:eastAsia="zh-CN"/>
              </w:rPr>
              <w:t>3</w:t>
            </w:r>
            <w:r>
              <w:rPr>
                <w:rFonts w:hint="eastAsia" w:ascii="宋体" w:hAnsi="宋体" w:eastAsia="宋体" w:cs="宋体"/>
                <w:sz w:val="21"/>
                <w:szCs w:val="21"/>
                <w:vertAlign w:val="baseline"/>
                <w:lang w:val="en-US" w:eastAsia="zh-CN"/>
              </w:rPr>
              <w:t>储罐</w:t>
            </w:r>
          </w:p>
        </w:tc>
        <w:tc>
          <w:tcPr>
            <w:tcW w:w="650" w:type="dxa"/>
            <w:tcBorders>
              <w:tl2br w:val="nil"/>
              <w:tr2bl w:val="nil"/>
            </w:tcBorders>
            <w:vAlign w:val="center"/>
          </w:tcPr>
          <w:p w14:paraId="2450126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7.3</w:t>
            </w:r>
          </w:p>
        </w:tc>
        <w:tc>
          <w:tcPr>
            <w:tcW w:w="732" w:type="dxa"/>
            <w:tcBorders>
              <w:tl2br w:val="nil"/>
              <w:tr2bl w:val="nil"/>
            </w:tcBorders>
            <w:vAlign w:val="center"/>
          </w:tcPr>
          <w:p w14:paraId="290745F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7.2</w:t>
            </w:r>
          </w:p>
        </w:tc>
        <w:tc>
          <w:tcPr>
            <w:tcW w:w="684" w:type="dxa"/>
            <w:tcBorders>
              <w:tl2br w:val="nil"/>
              <w:tr2bl w:val="nil"/>
            </w:tcBorders>
            <w:vAlign w:val="center"/>
          </w:tcPr>
          <w:p w14:paraId="0F4EA4D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0.1</w:t>
            </w:r>
          </w:p>
        </w:tc>
        <w:tc>
          <w:tcPr>
            <w:tcW w:w="1342" w:type="dxa"/>
            <w:tcBorders>
              <w:tl2br w:val="nil"/>
              <w:tr2bl w:val="nil"/>
            </w:tcBorders>
            <w:vAlign w:val="center"/>
          </w:tcPr>
          <w:p w14:paraId="6CC35C2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外购、汽运、罐装存放</w:t>
            </w:r>
          </w:p>
        </w:tc>
      </w:tr>
      <w:tr w14:paraId="51DA54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83" w:type="dxa"/>
            <w:tcBorders>
              <w:tl2br w:val="nil"/>
              <w:tr2bl w:val="nil"/>
            </w:tcBorders>
            <w:vAlign w:val="center"/>
          </w:tcPr>
          <w:p w14:paraId="17DFCA7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p>
        </w:tc>
        <w:tc>
          <w:tcPr>
            <w:tcW w:w="1113" w:type="dxa"/>
            <w:tcBorders>
              <w:tl2br w:val="nil"/>
              <w:tr2bl w:val="nil"/>
            </w:tcBorders>
            <w:vAlign w:val="center"/>
          </w:tcPr>
          <w:p w14:paraId="767CFC4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氯化铁</w:t>
            </w:r>
          </w:p>
        </w:tc>
        <w:tc>
          <w:tcPr>
            <w:tcW w:w="1350" w:type="dxa"/>
            <w:tcBorders>
              <w:tl2br w:val="nil"/>
              <w:tr2bl w:val="nil"/>
            </w:tcBorders>
            <w:vAlign w:val="center"/>
          </w:tcPr>
          <w:p w14:paraId="2BDF826D">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F</w:t>
            </w:r>
            <w:r>
              <w:rPr>
                <w:rFonts w:hint="eastAsia" w:ascii="宋体" w:hAnsi="宋体" w:eastAsia="宋体" w:cs="宋体"/>
                <w:color w:val="000000"/>
                <w:kern w:val="0"/>
                <w:sz w:val="21"/>
                <w:szCs w:val="21"/>
                <w:vertAlign w:val="subscript"/>
                <w:lang w:val="en-US" w:eastAsia="zh-CN" w:bidi="ar"/>
              </w:rPr>
              <w:t>e</w:t>
            </w:r>
            <w:r>
              <w:rPr>
                <w:rFonts w:hint="eastAsia" w:ascii="宋体" w:hAnsi="宋体" w:eastAsia="宋体" w:cs="宋体"/>
                <w:color w:val="000000"/>
                <w:kern w:val="0"/>
                <w:sz w:val="21"/>
                <w:szCs w:val="21"/>
                <w:lang w:val="en-US" w:eastAsia="zh-CN" w:bidi="ar"/>
              </w:rPr>
              <w:t>Cl</w:t>
            </w:r>
            <w:r>
              <w:rPr>
                <w:rFonts w:hint="eastAsia" w:ascii="宋体" w:hAnsi="宋体" w:eastAsia="宋体" w:cs="宋体"/>
                <w:color w:val="000000"/>
                <w:kern w:val="0"/>
                <w:sz w:val="21"/>
                <w:szCs w:val="21"/>
                <w:vertAlign w:val="subscript"/>
                <w:lang w:val="en-US" w:eastAsia="zh-CN" w:bidi="ar"/>
              </w:rPr>
              <w:t>3</w:t>
            </w:r>
          </w:p>
        </w:tc>
        <w:tc>
          <w:tcPr>
            <w:tcW w:w="2164" w:type="dxa"/>
            <w:tcBorders>
              <w:tl2br w:val="nil"/>
              <w:tr2bl w:val="nil"/>
            </w:tcBorders>
            <w:vAlign w:val="center"/>
          </w:tcPr>
          <w:p w14:paraId="4F228AA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25kg/袋</w:t>
            </w:r>
          </w:p>
        </w:tc>
        <w:tc>
          <w:tcPr>
            <w:tcW w:w="650" w:type="dxa"/>
            <w:tcBorders>
              <w:tl2br w:val="nil"/>
              <w:tr2bl w:val="nil"/>
            </w:tcBorders>
            <w:vAlign w:val="center"/>
          </w:tcPr>
          <w:p w14:paraId="1665C0A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10.95</w:t>
            </w:r>
          </w:p>
        </w:tc>
        <w:tc>
          <w:tcPr>
            <w:tcW w:w="732" w:type="dxa"/>
            <w:tcBorders>
              <w:tl2br w:val="nil"/>
              <w:tr2bl w:val="nil"/>
            </w:tcBorders>
            <w:vAlign w:val="center"/>
          </w:tcPr>
          <w:p w14:paraId="0989F72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9.5</w:t>
            </w:r>
          </w:p>
        </w:tc>
        <w:tc>
          <w:tcPr>
            <w:tcW w:w="684" w:type="dxa"/>
            <w:tcBorders>
              <w:tl2br w:val="nil"/>
              <w:tr2bl w:val="nil"/>
            </w:tcBorders>
            <w:vAlign w:val="center"/>
          </w:tcPr>
          <w:p w14:paraId="7B45789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1.45</w:t>
            </w:r>
          </w:p>
        </w:tc>
        <w:tc>
          <w:tcPr>
            <w:tcW w:w="1342" w:type="dxa"/>
            <w:tcBorders>
              <w:tl2br w:val="nil"/>
              <w:tr2bl w:val="nil"/>
            </w:tcBorders>
            <w:vAlign w:val="center"/>
          </w:tcPr>
          <w:p w14:paraId="435EAA7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外购、汽运、袋装存放</w:t>
            </w:r>
          </w:p>
        </w:tc>
      </w:tr>
      <w:tr w14:paraId="360C8D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83" w:type="dxa"/>
            <w:tcBorders>
              <w:tl2br w:val="nil"/>
              <w:tr2bl w:val="nil"/>
            </w:tcBorders>
            <w:vAlign w:val="center"/>
          </w:tcPr>
          <w:p w14:paraId="379D4E8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w:t>
            </w:r>
          </w:p>
        </w:tc>
        <w:tc>
          <w:tcPr>
            <w:tcW w:w="1113" w:type="dxa"/>
            <w:tcBorders>
              <w:tl2br w:val="nil"/>
              <w:tr2bl w:val="nil"/>
            </w:tcBorders>
            <w:vAlign w:val="center"/>
          </w:tcPr>
          <w:p w14:paraId="321AF68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石灰</w:t>
            </w:r>
          </w:p>
        </w:tc>
        <w:tc>
          <w:tcPr>
            <w:tcW w:w="1350" w:type="dxa"/>
            <w:tcBorders>
              <w:tl2br w:val="nil"/>
              <w:tr2bl w:val="nil"/>
            </w:tcBorders>
            <w:vAlign w:val="center"/>
          </w:tcPr>
          <w:p w14:paraId="5E594C38">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CaO</w:t>
            </w:r>
          </w:p>
        </w:tc>
        <w:tc>
          <w:tcPr>
            <w:tcW w:w="2164" w:type="dxa"/>
            <w:tcBorders>
              <w:tl2br w:val="nil"/>
              <w:tr2bl w:val="nil"/>
            </w:tcBorders>
            <w:vAlign w:val="center"/>
          </w:tcPr>
          <w:p w14:paraId="04741C48">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25kg/袋</w:t>
            </w:r>
          </w:p>
        </w:tc>
        <w:tc>
          <w:tcPr>
            <w:tcW w:w="650" w:type="dxa"/>
            <w:tcBorders>
              <w:tl2br w:val="nil"/>
              <w:tr2bl w:val="nil"/>
            </w:tcBorders>
            <w:vAlign w:val="center"/>
          </w:tcPr>
          <w:p w14:paraId="1947CDE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14.6</w:t>
            </w:r>
          </w:p>
        </w:tc>
        <w:tc>
          <w:tcPr>
            <w:tcW w:w="732" w:type="dxa"/>
            <w:tcBorders>
              <w:tl2br w:val="nil"/>
              <w:tr2bl w:val="nil"/>
            </w:tcBorders>
            <w:vAlign w:val="center"/>
          </w:tcPr>
          <w:p w14:paraId="069DCA5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14.0</w:t>
            </w:r>
          </w:p>
        </w:tc>
        <w:tc>
          <w:tcPr>
            <w:tcW w:w="684" w:type="dxa"/>
            <w:tcBorders>
              <w:tl2br w:val="nil"/>
              <w:tr2bl w:val="nil"/>
            </w:tcBorders>
            <w:vAlign w:val="center"/>
          </w:tcPr>
          <w:p w14:paraId="5B182A5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0.6</w:t>
            </w:r>
          </w:p>
        </w:tc>
        <w:tc>
          <w:tcPr>
            <w:tcW w:w="1342" w:type="dxa"/>
            <w:tcBorders>
              <w:tl2br w:val="nil"/>
              <w:tr2bl w:val="nil"/>
            </w:tcBorders>
            <w:vAlign w:val="center"/>
          </w:tcPr>
          <w:p w14:paraId="51E40E7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外购、汽运、袋装存放</w:t>
            </w:r>
          </w:p>
        </w:tc>
      </w:tr>
      <w:tr w14:paraId="652E36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83" w:type="dxa"/>
            <w:tcBorders>
              <w:tl2br w:val="nil"/>
              <w:tr2bl w:val="nil"/>
            </w:tcBorders>
            <w:vAlign w:val="center"/>
          </w:tcPr>
          <w:p w14:paraId="4D0A4A2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w:t>
            </w:r>
          </w:p>
        </w:tc>
        <w:tc>
          <w:tcPr>
            <w:tcW w:w="1113" w:type="dxa"/>
            <w:tcBorders>
              <w:tl2br w:val="nil"/>
              <w:tr2bl w:val="nil"/>
            </w:tcBorders>
            <w:vAlign w:val="center"/>
          </w:tcPr>
          <w:p w14:paraId="5169AA1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除氟剂</w:t>
            </w:r>
          </w:p>
        </w:tc>
        <w:tc>
          <w:tcPr>
            <w:tcW w:w="1350" w:type="dxa"/>
            <w:tcBorders>
              <w:tl2br w:val="nil"/>
              <w:tr2bl w:val="nil"/>
            </w:tcBorders>
            <w:vAlign w:val="center"/>
          </w:tcPr>
          <w:p w14:paraId="1139693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Al</w:t>
            </w:r>
            <w:r>
              <w:rPr>
                <w:rFonts w:hint="eastAsia" w:ascii="宋体" w:hAnsi="宋体" w:eastAsia="宋体" w:cs="宋体"/>
                <w:color w:val="000000"/>
                <w:kern w:val="0"/>
                <w:sz w:val="21"/>
                <w:szCs w:val="21"/>
                <w:vertAlign w:val="subscript"/>
                <w:lang w:val="en-US" w:eastAsia="zh-CN" w:bidi="ar"/>
              </w:rPr>
              <w:t>2</w:t>
            </w:r>
            <w:r>
              <w:rPr>
                <w:rFonts w:hint="eastAsia" w:ascii="宋体" w:hAnsi="宋体" w:eastAsia="宋体" w:cs="宋体"/>
                <w:color w:val="000000"/>
                <w:kern w:val="0"/>
                <w:sz w:val="21"/>
                <w:szCs w:val="21"/>
                <w:lang w:val="en-US" w:eastAsia="zh-CN" w:bidi="ar"/>
              </w:rPr>
              <w:t>O</w:t>
            </w:r>
            <w:r>
              <w:rPr>
                <w:rFonts w:hint="eastAsia" w:ascii="宋体" w:hAnsi="宋体" w:eastAsia="宋体" w:cs="宋体"/>
                <w:color w:val="000000"/>
                <w:kern w:val="0"/>
                <w:sz w:val="21"/>
                <w:szCs w:val="21"/>
                <w:vertAlign w:val="subscript"/>
                <w:lang w:val="en-US" w:eastAsia="zh-CN" w:bidi="ar"/>
              </w:rPr>
              <w:t>3</w:t>
            </w:r>
          </w:p>
        </w:tc>
        <w:tc>
          <w:tcPr>
            <w:tcW w:w="2164" w:type="dxa"/>
            <w:tcBorders>
              <w:tl2br w:val="nil"/>
              <w:tr2bl w:val="nil"/>
            </w:tcBorders>
            <w:vAlign w:val="center"/>
          </w:tcPr>
          <w:p w14:paraId="4D8EA37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25kg/袋</w:t>
            </w:r>
          </w:p>
        </w:tc>
        <w:tc>
          <w:tcPr>
            <w:tcW w:w="650" w:type="dxa"/>
            <w:tcBorders>
              <w:tl2br w:val="nil"/>
              <w:tr2bl w:val="nil"/>
            </w:tcBorders>
            <w:vAlign w:val="center"/>
          </w:tcPr>
          <w:p w14:paraId="3C9D8D3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0</w:t>
            </w:r>
          </w:p>
        </w:tc>
        <w:tc>
          <w:tcPr>
            <w:tcW w:w="732" w:type="dxa"/>
            <w:tcBorders>
              <w:tl2br w:val="nil"/>
              <w:tr2bl w:val="nil"/>
            </w:tcBorders>
            <w:vAlign w:val="center"/>
          </w:tcPr>
          <w:p w14:paraId="2D27ABE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6.5</w:t>
            </w:r>
          </w:p>
        </w:tc>
        <w:tc>
          <w:tcPr>
            <w:tcW w:w="684" w:type="dxa"/>
            <w:tcBorders>
              <w:tl2br w:val="nil"/>
              <w:tr2bl w:val="nil"/>
            </w:tcBorders>
            <w:vAlign w:val="center"/>
          </w:tcPr>
          <w:p w14:paraId="4F06140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0</w:t>
            </w:r>
          </w:p>
        </w:tc>
        <w:tc>
          <w:tcPr>
            <w:tcW w:w="1342" w:type="dxa"/>
            <w:tcBorders>
              <w:tl2br w:val="nil"/>
              <w:tr2bl w:val="nil"/>
            </w:tcBorders>
            <w:vAlign w:val="center"/>
          </w:tcPr>
          <w:p w14:paraId="3DC4E7F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外购、汽运、袋装存放</w:t>
            </w:r>
          </w:p>
        </w:tc>
      </w:tr>
      <w:tr w14:paraId="214787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83" w:type="dxa"/>
            <w:tcBorders>
              <w:tl2br w:val="nil"/>
              <w:tr2bl w:val="nil"/>
            </w:tcBorders>
            <w:vAlign w:val="center"/>
          </w:tcPr>
          <w:p w14:paraId="30330F2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7</w:t>
            </w:r>
          </w:p>
        </w:tc>
        <w:tc>
          <w:tcPr>
            <w:tcW w:w="1113" w:type="dxa"/>
            <w:tcBorders>
              <w:tl2br w:val="nil"/>
              <w:tr2bl w:val="nil"/>
            </w:tcBorders>
            <w:vAlign w:val="center"/>
          </w:tcPr>
          <w:p w14:paraId="50B3B37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PAM</w:t>
            </w:r>
          </w:p>
        </w:tc>
        <w:tc>
          <w:tcPr>
            <w:tcW w:w="1350" w:type="dxa"/>
            <w:tcBorders>
              <w:tl2br w:val="nil"/>
              <w:tr2bl w:val="nil"/>
            </w:tcBorders>
            <w:vAlign w:val="center"/>
          </w:tcPr>
          <w:p w14:paraId="453CCF3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聚丙烯酰胺</w:t>
            </w:r>
          </w:p>
        </w:tc>
        <w:tc>
          <w:tcPr>
            <w:tcW w:w="2164" w:type="dxa"/>
            <w:tcBorders>
              <w:tl2br w:val="nil"/>
              <w:tr2bl w:val="nil"/>
            </w:tcBorders>
            <w:vAlign w:val="center"/>
          </w:tcPr>
          <w:p w14:paraId="2B4B09E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25kg/袋</w:t>
            </w:r>
          </w:p>
        </w:tc>
        <w:tc>
          <w:tcPr>
            <w:tcW w:w="650" w:type="dxa"/>
            <w:tcBorders>
              <w:tl2br w:val="nil"/>
              <w:tr2bl w:val="nil"/>
            </w:tcBorders>
            <w:vAlign w:val="center"/>
          </w:tcPr>
          <w:p w14:paraId="462F1AA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0</w:t>
            </w:r>
          </w:p>
        </w:tc>
        <w:tc>
          <w:tcPr>
            <w:tcW w:w="732" w:type="dxa"/>
            <w:tcBorders>
              <w:tl2br w:val="nil"/>
              <w:tr2bl w:val="nil"/>
            </w:tcBorders>
            <w:vAlign w:val="center"/>
          </w:tcPr>
          <w:p w14:paraId="5C49645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4.2</w:t>
            </w:r>
          </w:p>
        </w:tc>
        <w:tc>
          <w:tcPr>
            <w:tcW w:w="684" w:type="dxa"/>
            <w:tcBorders>
              <w:tl2br w:val="nil"/>
              <w:tr2bl w:val="nil"/>
            </w:tcBorders>
            <w:vAlign w:val="center"/>
          </w:tcPr>
          <w:p w14:paraId="52A3462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0</w:t>
            </w:r>
          </w:p>
        </w:tc>
        <w:tc>
          <w:tcPr>
            <w:tcW w:w="1342" w:type="dxa"/>
            <w:tcBorders>
              <w:tl2br w:val="nil"/>
              <w:tr2bl w:val="nil"/>
            </w:tcBorders>
            <w:vAlign w:val="center"/>
          </w:tcPr>
          <w:p w14:paraId="154BF1A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外购、汽运、袋装存放</w:t>
            </w:r>
          </w:p>
        </w:tc>
      </w:tr>
      <w:tr w14:paraId="7BF561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83" w:type="dxa"/>
            <w:tcBorders>
              <w:tl2br w:val="nil"/>
              <w:tr2bl w:val="nil"/>
            </w:tcBorders>
            <w:vAlign w:val="center"/>
          </w:tcPr>
          <w:p w14:paraId="0BB28E1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w:t>
            </w:r>
          </w:p>
        </w:tc>
        <w:tc>
          <w:tcPr>
            <w:tcW w:w="1113" w:type="dxa"/>
            <w:tcBorders>
              <w:tl2br w:val="nil"/>
              <w:tr2bl w:val="nil"/>
            </w:tcBorders>
            <w:vAlign w:val="center"/>
          </w:tcPr>
          <w:p w14:paraId="77D7B27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液碱</w:t>
            </w:r>
          </w:p>
        </w:tc>
        <w:tc>
          <w:tcPr>
            <w:tcW w:w="1350" w:type="dxa"/>
            <w:tcBorders>
              <w:tl2br w:val="nil"/>
              <w:tr2bl w:val="nil"/>
            </w:tcBorders>
            <w:vAlign w:val="center"/>
          </w:tcPr>
          <w:p w14:paraId="68F2563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NaOH</w:t>
            </w:r>
          </w:p>
        </w:tc>
        <w:tc>
          <w:tcPr>
            <w:tcW w:w="2164" w:type="dxa"/>
            <w:tcBorders>
              <w:tl2br w:val="nil"/>
              <w:tr2bl w:val="nil"/>
            </w:tcBorders>
            <w:vAlign w:val="center"/>
          </w:tcPr>
          <w:p w14:paraId="73DFE5B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sz w:val="21"/>
                <w:szCs w:val="21"/>
                <w:vertAlign w:val="baseline"/>
                <w:lang w:val="en-US" w:eastAsia="zh-CN"/>
              </w:rPr>
              <w:t>储药罐V＝15m</w:t>
            </w:r>
            <w:r>
              <w:rPr>
                <w:rFonts w:hint="eastAsia" w:ascii="宋体" w:hAnsi="宋体" w:eastAsia="宋体" w:cs="宋体"/>
                <w:sz w:val="21"/>
                <w:szCs w:val="21"/>
                <w:vertAlign w:val="superscript"/>
                <w:lang w:val="en-US" w:eastAsia="zh-CN"/>
              </w:rPr>
              <w:t>3</w:t>
            </w:r>
            <w:r>
              <w:rPr>
                <w:rFonts w:hint="eastAsia" w:ascii="宋体" w:hAnsi="宋体" w:eastAsia="宋体" w:cs="宋体"/>
                <w:sz w:val="21"/>
                <w:szCs w:val="21"/>
                <w:vertAlign w:val="baseline"/>
                <w:lang w:val="en-US" w:eastAsia="zh-CN"/>
              </w:rPr>
              <w:t>储罐</w:t>
            </w:r>
          </w:p>
        </w:tc>
        <w:tc>
          <w:tcPr>
            <w:tcW w:w="650" w:type="dxa"/>
            <w:tcBorders>
              <w:tl2br w:val="nil"/>
              <w:tr2bl w:val="nil"/>
            </w:tcBorders>
            <w:vAlign w:val="center"/>
          </w:tcPr>
          <w:p w14:paraId="6F187C0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0</w:t>
            </w:r>
          </w:p>
        </w:tc>
        <w:tc>
          <w:tcPr>
            <w:tcW w:w="732" w:type="dxa"/>
            <w:tcBorders>
              <w:tl2br w:val="nil"/>
              <w:tr2bl w:val="nil"/>
            </w:tcBorders>
            <w:vAlign w:val="center"/>
          </w:tcPr>
          <w:p w14:paraId="6D49BC2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3.5</w:t>
            </w:r>
          </w:p>
        </w:tc>
        <w:tc>
          <w:tcPr>
            <w:tcW w:w="684" w:type="dxa"/>
            <w:tcBorders>
              <w:tl2br w:val="nil"/>
              <w:tr2bl w:val="nil"/>
            </w:tcBorders>
            <w:vAlign w:val="center"/>
          </w:tcPr>
          <w:p w14:paraId="55A7D00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0</w:t>
            </w:r>
          </w:p>
        </w:tc>
        <w:tc>
          <w:tcPr>
            <w:tcW w:w="1342" w:type="dxa"/>
            <w:tcBorders>
              <w:tl2br w:val="nil"/>
              <w:tr2bl w:val="nil"/>
            </w:tcBorders>
            <w:vAlign w:val="center"/>
          </w:tcPr>
          <w:p w14:paraId="44EED6F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外购、汽运、罐装存放</w:t>
            </w:r>
          </w:p>
        </w:tc>
      </w:tr>
    </w:tbl>
    <w:p w14:paraId="0A1FB153">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原辅材料理化性质见表3.3-2。</w:t>
      </w:r>
    </w:p>
    <w:p w14:paraId="0831CD31">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lang w:val="en-US" w:eastAsia="zh-CN"/>
        </w:rPr>
      </w:pPr>
      <w:r>
        <w:rPr>
          <w:rFonts w:hint="eastAsia" w:ascii="宋体" w:hAnsi="宋体" w:eastAsia="宋体" w:cs="宋体"/>
          <w:b/>
          <w:bCs/>
          <w:sz w:val="24"/>
        </w:rPr>
        <w:t>表</w:t>
      </w:r>
      <w:r>
        <w:rPr>
          <w:rFonts w:hint="eastAsia" w:ascii="宋体" w:hAnsi="宋体" w:eastAsia="宋体" w:cs="宋体"/>
          <w:b/>
          <w:bCs/>
          <w:sz w:val="24"/>
          <w:lang w:val="en-US" w:eastAsia="zh-CN"/>
        </w:rPr>
        <w:t>3.3-2</w:t>
      </w:r>
      <w:r>
        <w:rPr>
          <w:rFonts w:hint="eastAsia" w:ascii="宋体" w:hAnsi="宋体" w:eastAsia="宋体" w:cs="宋体"/>
          <w:b/>
          <w:bCs/>
          <w:sz w:val="24"/>
        </w:rPr>
        <w:t xml:space="preserve">  原辅材料理化性质一览表</w:t>
      </w:r>
    </w:p>
    <w:tbl>
      <w:tblPr>
        <w:tblStyle w:val="19"/>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60"/>
        <w:gridCol w:w="4876"/>
        <w:gridCol w:w="1058"/>
        <w:gridCol w:w="1625"/>
      </w:tblGrid>
      <w:tr w14:paraId="3D62AC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3" w:type="pct"/>
            <w:noWrap w:val="0"/>
            <w:vAlign w:val="center"/>
          </w:tcPr>
          <w:p w14:paraId="2FC56254">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名称</w:t>
            </w:r>
          </w:p>
        </w:tc>
        <w:tc>
          <w:tcPr>
            <w:tcW w:w="2861" w:type="pct"/>
            <w:noWrap w:val="0"/>
            <w:vAlign w:val="center"/>
          </w:tcPr>
          <w:p w14:paraId="125C4092">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eastAsia" w:ascii="宋体" w:hAnsi="宋体" w:eastAsia="宋体" w:cs="宋体"/>
                <w:b/>
                <w:bCs/>
                <w:color w:val="000000"/>
                <w:sz w:val="21"/>
                <w:szCs w:val="21"/>
                <w:lang w:eastAsia="zh-CN"/>
              </w:rPr>
            </w:pPr>
            <w:r>
              <w:rPr>
                <w:rFonts w:hint="eastAsia" w:ascii="宋体" w:hAnsi="宋体" w:eastAsia="宋体" w:cs="宋体"/>
                <w:b/>
                <w:bCs/>
                <w:color w:val="000000"/>
                <w:sz w:val="21"/>
                <w:szCs w:val="21"/>
                <w:lang w:val="en-US" w:eastAsia="zh-CN"/>
              </w:rPr>
              <w:t>理化性质</w:t>
            </w:r>
          </w:p>
        </w:tc>
        <w:tc>
          <w:tcPr>
            <w:tcW w:w="620" w:type="pct"/>
            <w:noWrap w:val="0"/>
            <w:vAlign w:val="center"/>
          </w:tcPr>
          <w:p w14:paraId="335C1026">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爆炸燃烧性</w:t>
            </w:r>
          </w:p>
        </w:tc>
        <w:tc>
          <w:tcPr>
            <w:tcW w:w="953" w:type="pct"/>
            <w:noWrap w:val="0"/>
            <w:vAlign w:val="center"/>
          </w:tcPr>
          <w:p w14:paraId="3A147FDA">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毒理毒性/健康危害</w:t>
            </w:r>
          </w:p>
        </w:tc>
      </w:tr>
      <w:tr w14:paraId="4AE26B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3" w:type="pct"/>
            <w:noWrap w:val="0"/>
            <w:vAlign w:val="center"/>
          </w:tcPr>
          <w:p w14:paraId="6160F679">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spacing w:val="-2"/>
                <w:sz w:val="21"/>
                <w:szCs w:val="21"/>
              </w:rPr>
              <w:t>PAC</w:t>
            </w:r>
          </w:p>
        </w:tc>
        <w:tc>
          <w:tcPr>
            <w:tcW w:w="2861" w:type="pct"/>
            <w:noWrap w:val="0"/>
            <w:vAlign w:val="center"/>
          </w:tcPr>
          <w:p w14:paraId="178C594B">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both"/>
              <w:textAlignment w:val="auto"/>
              <w:rPr>
                <w:rFonts w:hint="eastAsia" w:ascii="宋体" w:hAnsi="宋体" w:eastAsia="宋体" w:cs="宋体"/>
                <w:color w:val="000000"/>
                <w:sz w:val="21"/>
                <w:szCs w:val="21"/>
                <w:lang w:val="en-US" w:eastAsia="zh-CN"/>
              </w:rPr>
            </w:pPr>
            <w:r>
              <w:rPr>
                <w:rFonts w:hint="eastAsia" w:ascii="宋体" w:hAnsi="宋体" w:eastAsia="宋体" w:cs="宋体"/>
                <w:spacing w:val="12"/>
                <w:sz w:val="21"/>
                <w:szCs w:val="21"/>
              </w:rPr>
              <w:t>聚合氯化铝</w:t>
            </w:r>
            <w:r>
              <w:rPr>
                <w:rFonts w:hint="eastAsia" w:ascii="宋体" w:hAnsi="宋体" w:cs="宋体"/>
                <w:spacing w:val="12"/>
                <w:sz w:val="21"/>
                <w:szCs w:val="21"/>
                <w:lang w:eastAsia="zh-CN"/>
              </w:rPr>
              <w:t>，</w:t>
            </w:r>
            <w:r>
              <w:rPr>
                <w:rFonts w:hint="eastAsia" w:ascii="宋体" w:hAnsi="宋体" w:eastAsia="宋体" w:cs="宋体"/>
                <w:spacing w:val="12"/>
                <w:sz w:val="21"/>
                <w:szCs w:val="21"/>
              </w:rPr>
              <w:t>通常也称作净水剂或混凝剂，</w:t>
            </w:r>
            <w:r>
              <w:rPr>
                <w:rFonts w:hint="eastAsia" w:ascii="宋体" w:hAnsi="宋体" w:eastAsia="宋体" w:cs="宋体"/>
                <w:spacing w:val="11"/>
                <w:sz w:val="21"/>
                <w:szCs w:val="21"/>
              </w:rPr>
              <w:t>它是介</w:t>
            </w:r>
            <w:r>
              <w:rPr>
                <w:rFonts w:hint="eastAsia" w:ascii="宋体" w:hAnsi="宋体" w:eastAsia="宋体" w:cs="宋体"/>
                <w:spacing w:val="9"/>
                <w:sz w:val="21"/>
                <w:szCs w:val="21"/>
              </w:rPr>
              <w:t>于</w:t>
            </w:r>
            <w:r>
              <w:rPr>
                <w:rFonts w:hint="eastAsia" w:ascii="宋体" w:hAnsi="宋体" w:eastAsia="宋体" w:cs="宋体"/>
                <w:sz w:val="21"/>
                <w:szCs w:val="21"/>
              </w:rPr>
              <w:t>AlCl</w:t>
            </w:r>
            <w:r>
              <w:rPr>
                <w:rFonts w:hint="eastAsia" w:ascii="宋体" w:hAnsi="宋体" w:eastAsia="宋体" w:cs="宋体"/>
                <w:spacing w:val="9"/>
                <w:position w:val="-1"/>
                <w:sz w:val="21"/>
                <w:szCs w:val="21"/>
                <w:vertAlign w:val="subscript"/>
              </w:rPr>
              <w:t>3</w:t>
            </w:r>
            <w:r>
              <w:rPr>
                <w:rFonts w:hint="eastAsia" w:ascii="宋体" w:hAnsi="宋体" w:eastAsia="宋体" w:cs="宋体"/>
                <w:spacing w:val="9"/>
                <w:sz w:val="21"/>
                <w:szCs w:val="21"/>
              </w:rPr>
              <w:t>和</w:t>
            </w:r>
            <w:r>
              <w:rPr>
                <w:rFonts w:hint="eastAsia" w:ascii="宋体" w:hAnsi="宋体" w:eastAsia="宋体" w:cs="宋体"/>
                <w:sz w:val="21"/>
                <w:szCs w:val="21"/>
              </w:rPr>
              <w:t>Al</w:t>
            </w:r>
            <w:r>
              <w:rPr>
                <w:rFonts w:hint="eastAsia" w:ascii="宋体" w:hAnsi="宋体" w:eastAsia="宋体" w:cs="宋体"/>
                <w:spacing w:val="9"/>
                <w:sz w:val="21"/>
                <w:szCs w:val="21"/>
              </w:rPr>
              <w:t>(</w:t>
            </w:r>
            <w:r>
              <w:rPr>
                <w:rFonts w:hint="eastAsia" w:ascii="宋体" w:hAnsi="宋体" w:eastAsia="宋体" w:cs="宋体"/>
                <w:sz w:val="21"/>
                <w:szCs w:val="21"/>
              </w:rPr>
              <w:t>OH</w:t>
            </w:r>
            <w:r>
              <w:rPr>
                <w:rFonts w:hint="eastAsia" w:ascii="宋体" w:hAnsi="宋体" w:eastAsia="宋体" w:cs="宋体"/>
                <w:spacing w:val="9"/>
                <w:sz w:val="21"/>
                <w:szCs w:val="21"/>
              </w:rPr>
              <w:t>)</w:t>
            </w:r>
            <w:r>
              <w:rPr>
                <w:rFonts w:hint="eastAsia" w:ascii="宋体" w:hAnsi="宋体" w:eastAsia="宋体" w:cs="宋体"/>
                <w:spacing w:val="9"/>
                <w:position w:val="-1"/>
                <w:sz w:val="21"/>
                <w:szCs w:val="21"/>
                <w:vertAlign w:val="subscript"/>
              </w:rPr>
              <w:t>3</w:t>
            </w:r>
            <w:r>
              <w:rPr>
                <w:rFonts w:hint="eastAsia" w:ascii="宋体" w:hAnsi="宋体" w:eastAsia="宋体" w:cs="宋体"/>
                <w:spacing w:val="9"/>
                <w:sz w:val="21"/>
                <w:szCs w:val="21"/>
              </w:rPr>
              <w:t>之间的一种水溶性无机高分子</w:t>
            </w:r>
            <w:r>
              <w:rPr>
                <w:rFonts w:hint="eastAsia" w:ascii="宋体" w:hAnsi="宋体" w:eastAsia="宋体" w:cs="宋体"/>
                <w:spacing w:val="7"/>
                <w:sz w:val="21"/>
                <w:szCs w:val="21"/>
              </w:rPr>
              <w:t>聚合物。淡黄色粉末，密度约为2.44g/</w:t>
            </w:r>
            <w:r>
              <w:rPr>
                <w:rFonts w:hint="eastAsia" w:ascii="宋体" w:hAnsi="宋体" w:eastAsia="宋体" w:cs="宋体"/>
                <w:sz w:val="21"/>
                <w:szCs w:val="21"/>
              </w:rPr>
              <w:t>cm</w:t>
            </w:r>
            <w:r>
              <w:rPr>
                <w:rFonts w:hint="eastAsia" w:ascii="宋体" w:hAnsi="宋体" w:eastAsia="宋体" w:cs="宋体"/>
                <w:sz w:val="21"/>
                <w:szCs w:val="21"/>
                <w:vertAlign w:val="superscript"/>
                <w:lang w:val="en-US" w:eastAsia="zh-CN"/>
              </w:rPr>
              <w:t>3</w:t>
            </w:r>
            <w:r>
              <w:rPr>
                <w:rFonts w:hint="eastAsia" w:ascii="宋体" w:hAnsi="宋体" w:eastAsia="宋体" w:cs="宋体"/>
                <w:sz w:val="21"/>
                <w:szCs w:val="21"/>
                <w:vertAlign w:val="baseline"/>
                <w:lang w:val="en-US" w:eastAsia="zh-CN"/>
              </w:rPr>
              <w:t>。</w:t>
            </w:r>
          </w:p>
        </w:tc>
        <w:tc>
          <w:tcPr>
            <w:tcW w:w="620" w:type="pct"/>
            <w:shd w:val="clear" w:color="auto" w:fill="auto"/>
            <w:noWrap w:val="0"/>
            <w:vAlign w:val="center"/>
          </w:tcPr>
          <w:p w14:paraId="6182E44D">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3"/>
                <w:sz w:val="21"/>
                <w:szCs w:val="21"/>
              </w:rPr>
              <w:t>不燃</w:t>
            </w:r>
          </w:p>
        </w:tc>
        <w:tc>
          <w:tcPr>
            <w:tcW w:w="953" w:type="pct"/>
            <w:shd w:val="clear" w:color="auto" w:fill="auto"/>
            <w:noWrap w:val="0"/>
            <w:vAlign w:val="center"/>
          </w:tcPr>
          <w:p w14:paraId="6A65E222">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7"/>
                <w:sz w:val="21"/>
                <w:szCs w:val="21"/>
              </w:rPr>
              <w:t>酸性腐蚀性</w:t>
            </w:r>
          </w:p>
        </w:tc>
      </w:tr>
      <w:tr w14:paraId="241C83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3" w:type="pct"/>
            <w:shd w:val="clear" w:color="auto" w:fill="auto"/>
            <w:noWrap w:val="0"/>
            <w:vAlign w:val="center"/>
          </w:tcPr>
          <w:p w14:paraId="2B29B2B8">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7"/>
                <w:sz w:val="21"/>
                <w:szCs w:val="21"/>
              </w:rPr>
              <w:t>醋酸钠</w:t>
            </w:r>
          </w:p>
        </w:tc>
        <w:tc>
          <w:tcPr>
            <w:tcW w:w="2861" w:type="pct"/>
            <w:shd w:val="clear" w:color="auto" w:fill="auto"/>
            <w:noWrap w:val="0"/>
            <w:vAlign w:val="center"/>
          </w:tcPr>
          <w:p w14:paraId="5E75900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5"/>
                <w:sz w:val="21"/>
                <w:szCs w:val="21"/>
              </w:rPr>
              <w:t>纯品为白色</w:t>
            </w:r>
            <w:r>
              <w:rPr>
                <w:rFonts w:hint="eastAsia" w:ascii="宋体" w:hAnsi="宋体" w:cs="宋体"/>
                <w:spacing w:val="-5"/>
                <w:sz w:val="21"/>
                <w:szCs w:val="21"/>
                <w:lang w:eastAsia="zh-CN"/>
              </w:rPr>
              <w:t>轻微</w:t>
            </w:r>
            <w:r>
              <w:rPr>
                <w:rFonts w:hint="eastAsia" w:ascii="宋体" w:hAnsi="宋体" w:eastAsia="宋体" w:cs="宋体"/>
                <w:spacing w:val="-5"/>
                <w:sz w:val="21"/>
                <w:szCs w:val="21"/>
              </w:rPr>
              <w:t>酸味固体，熔点58℃</w:t>
            </w:r>
            <w:r>
              <w:rPr>
                <w:rFonts w:hint="eastAsia" w:ascii="宋体" w:hAnsi="宋体" w:eastAsia="宋体" w:cs="宋体"/>
                <w:spacing w:val="-6"/>
                <w:sz w:val="21"/>
                <w:szCs w:val="21"/>
              </w:rPr>
              <w:t>沸点</w:t>
            </w:r>
            <w:r>
              <w:rPr>
                <w:rFonts w:hint="eastAsia" w:ascii="宋体" w:hAnsi="宋体" w:eastAsia="宋体" w:cs="宋体"/>
                <w:spacing w:val="2"/>
                <w:sz w:val="21"/>
                <w:szCs w:val="21"/>
              </w:rPr>
              <w:t>&gt;400℃。易溶于水，微溶于乙醇，不溶于乙醚</w:t>
            </w:r>
            <w:r>
              <w:rPr>
                <w:rFonts w:hint="eastAsia" w:ascii="宋体" w:hAnsi="宋体" w:eastAsia="宋体" w:cs="宋体"/>
                <w:sz w:val="21"/>
                <w:szCs w:val="21"/>
                <w:vertAlign w:val="baseline"/>
                <w:lang w:val="en-US" w:eastAsia="zh-CN"/>
              </w:rPr>
              <w:t>。</w:t>
            </w:r>
          </w:p>
        </w:tc>
        <w:tc>
          <w:tcPr>
            <w:tcW w:w="620" w:type="pct"/>
            <w:shd w:val="clear" w:color="auto" w:fill="auto"/>
            <w:noWrap w:val="0"/>
            <w:vAlign w:val="center"/>
          </w:tcPr>
          <w:p w14:paraId="018E1196">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6"/>
                <w:sz w:val="21"/>
                <w:szCs w:val="21"/>
              </w:rPr>
              <w:t>不燃</w:t>
            </w:r>
          </w:p>
        </w:tc>
        <w:tc>
          <w:tcPr>
            <w:tcW w:w="953" w:type="pct"/>
            <w:shd w:val="clear" w:color="auto" w:fill="auto"/>
            <w:noWrap w:val="0"/>
            <w:vAlign w:val="center"/>
          </w:tcPr>
          <w:p w14:paraId="15B52C6D">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3"/>
                <w:sz w:val="21"/>
                <w:szCs w:val="21"/>
              </w:rPr>
              <w:t>低毒</w:t>
            </w:r>
          </w:p>
        </w:tc>
      </w:tr>
      <w:tr w14:paraId="7830F1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3" w:type="pct"/>
            <w:shd w:val="clear" w:color="auto" w:fill="auto"/>
            <w:noWrap w:val="0"/>
            <w:vAlign w:val="center"/>
          </w:tcPr>
          <w:p w14:paraId="61517DD2">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5"/>
                <w:sz w:val="21"/>
                <w:szCs w:val="21"/>
              </w:rPr>
              <w:t>次氯酸钠</w:t>
            </w:r>
          </w:p>
        </w:tc>
        <w:tc>
          <w:tcPr>
            <w:tcW w:w="2861" w:type="pct"/>
            <w:shd w:val="clear" w:color="auto" w:fill="auto"/>
            <w:noWrap w:val="0"/>
            <w:vAlign w:val="center"/>
          </w:tcPr>
          <w:p w14:paraId="63AA2AD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4"/>
                <w:sz w:val="21"/>
                <w:szCs w:val="21"/>
              </w:rPr>
              <w:t>微黄色（溶液</w:t>
            </w:r>
            <w:r>
              <w:rPr>
                <w:rFonts w:hint="eastAsia" w:ascii="宋体" w:hAnsi="宋体" w:eastAsia="宋体" w:cs="宋体"/>
                <w:spacing w:val="-12"/>
                <w:sz w:val="21"/>
                <w:szCs w:val="21"/>
              </w:rPr>
              <w:t>），</w:t>
            </w:r>
            <w:r>
              <w:rPr>
                <w:rFonts w:hint="eastAsia" w:ascii="宋体" w:hAnsi="宋体" w:eastAsia="宋体" w:cs="宋体"/>
                <w:spacing w:val="-4"/>
                <w:sz w:val="21"/>
                <w:szCs w:val="21"/>
              </w:rPr>
              <w:t>有似氯气的气味。不稳定，见</w:t>
            </w:r>
            <w:r>
              <w:rPr>
                <w:rFonts w:hint="eastAsia" w:ascii="宋体" w:hAnsi="宋体" w:eastAsia="宋体" w:cs="宋体"/>
                <w:spacing w:val="-6"/>
                <w:sz w:val="21"/>
                <w:szCs w:val="21"/>
              </w:rPr>
              <w:t>光分解。熔点：-16℃</w:t>
            </w:r>
            <w:r>
              <w:rPr>
                <w:rFonts w:hint="eastAsia" w:ascii="宋体" w:hAnsi="宋体" w:cs="宋体"/>
                <w:spacing w:val="-6"/>
                <w:sz w:val="21"/>
                <w:szCs w:val="21"/>
                <w:lang w:eastAsia="zh-CN"/>
              </w:rPr>
              <w:t>，</w:t>
            </w:r>
            <w:r>
              <w:rPr>
                <w:rFonts w:hint="eastAsia" w:ascii="宋体" w:hAnsi="宋体" w:eastAsia="宋体" w:cs="宋体"/>
                <w:spacing w:val="-6"/>
                <w:sz w:val="21"/>
                <w:szCs w:val="21"/>
              </w:rPr>
              <w:t>沸点：111℃</w:t>
            </w:r>
            <w:r>
              <w:rPr>
                <w:rFonts w:hint="eastAsia" w:ascii="宋体" w:hAnsi="宋体" w:eastAsia="宋体" w:cs="宋体"/>
                <w:sz w:val="21"/>
                <w:szCs w:val="21"/>
                <w:vertAlign w:val="baseline"/>
                <w:lang w:val="en-US" w:eastAsia="zh-CN"/>
              </w:rPr>
              <w:t>。</w:t>
            </w:r>
          </w:p>
        </w:tc>
        <w:tc>
          <w:tcPr>
            <w:tcW w:w="620" w:type="pct"/>
            <w:shd w:val="clear" w:color="auto" w:fill="auto"/>
            <w:noWrap w:val="0"/>
            <w:vAlign w:val="center"/>
          </w:tcPr>
          <w:p w14:paraId="1D3FB4C0">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6"/>
                <w:sz w:val="21"/>
                <w:szCs w:val="21"/>
              </w:rPr>
              <w:t>不燃</w:t>
            </w:r>
          </w:p>
        </w:tc>
        <w:tc>
          <w:tcPr>
            <w:tcW w:w="953" w:type="pct"/>
            <w:shd w:val="clear" w:color="auto" w:fill="auto"/>
            <w:noWrap w:val="0"/>
            <w:vAlign w:val="center"/>
          </w:tcPr>
          <w:p w14:paraId="157F0C79">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2"/>
                <w:sz w:val="21"/>
                <w:szCs w:val="21"/>
              </w:rPr>
              <w:t>腐蚀物品</w:t>
            </w:r>
          </w:p>
        </w:tc>
      </w:tr>
      <w:tr w14:paraId="73B68C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3" w:type="pct"/>
            <w:shd w:val="clear" w:color="auto" w:fill="auto"/>
            <w:noWrap w:val="0"/>
            <w:vAlign w:val="center"/>
          </w:tcPr>
          <w:p w14:paraId="7F23A581">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5"/>
                <w:sz w:val="21"/>
                <w:szCs w:val="21"/>
              </w:rPr>
              <w:t>氯化铁</w:t>
            </w:r>
          </w:p>
        </w:tc>
        <w:tc>
          <w:tcPr>
            <w:tcW w:w="2861" w:type="pct"/>
            <w:shd w:val="clear" w:color="auto" w:fill="auto"/>
            <w:noWrap w:val="0"/>
            <w:vAlign w:val="center"/>
          </w:tcPr>
          <w:p w14:paraId="0C66F5B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4"/>
                <w:sz w:val="21"/>
                <w:szCs w:val="21"/>
              </w:rPr>
              <w:t>黑棕色结晶，熔点306℃</w:t>
            </w:r>
            <w:r>
              <w:rPr>
                <w:rFonts w:hint="eastAsia" w:ascii="宋体" w:hAnsi="宋体" w:cs="宋体"/>
                <w:spacing w:val="-4"/>
                <w:sz w:val="21"/>
                <w:szCs w:val="21"/>
                <w:lang w:eastAsia="zh-CN"/>
              </w:rPr>
              <w:t>，</w:t>
            </w:r>
            <w:r>
              <w:rPr>
                <w:rFonts w:hint="eastAsia" w:ascii="宋体" w:hAnsi="宋体" w:eastAsia="宋体" w:cs="宋体"/>
                <w:spacing w:val="-4"/>
                <w:sz w:val="21"/>
                <w:szCs w:val="21"/>
              </w:rPr>
              <w:t>沸点</w:t>
            </w:r>
            <w:r>
              <w:rPr>
                <w:rFonts w:hint="eastAsia" w:ascii="宋体" w:hAnsi="宋体" w:eastAsia="宋体" w:cs="宋体"/>
                <w:spacing w:val="-39"/>
                <w:sz w:val="21"/>
                <w:szCs w:val="21"/>
              </w:rPr>
              <w:t xml:space="preserve"> </w:t>
            </w:r>
            <w:r>
              <w:rPr>
                <w:rFonts w:hint="eastAsia" w:ascii="宋体" w:hAnsi="宋体" w:eastAsia="宋体" w:cs="宋体"/>
                <w:spacing w:val="-4"/>
                <w:sz w:val="21"/>
                <w:szCs w:val="21"/>
              </w:rPr>
              <w:t>315℃</w:t>
            </w:r>
            <w:r>
              <w:rPr>
                <w:rFonts w:hint="eastAsia" w:ascii="宋体" w:hAnsi="宋体" w:cs="宋体"/>
                <w:spacing w:val="-4"/>
                <w:sz w:val="21"/>
                <w:szCs w:val="21"/>
                <w:lang w:eastAsia="zh-CN"/>
              </w:rPr>
              <w:t>，</w:t>
            </w:r>
            <w:r>
              <w:rPr>
                <w:rFonts w:hint="eastAsia" w:ascii="宋体" w:hAnsi="宋体" w:eastAsia="宋体" w:cs="宋体"/>
                <w:spacing w:val="-4"/>
                <w:sz w:val="21"/>
                <w:szCs w:val="21"/>
              </w:rPr>
              <w:t>易溶于水，</w:t>
            </w:r>
            <w:r>
              <w:rPr>
                <w:rFonts w:hint="eastAsia" w:ascii="宋体" w:hAnsi="宋体" w:eastAsia="宋体" w:cs="宋体"/>
                <w:spacing w:val="8"/>
                <w:sz w:val="21"/>
                <w:szCs w:val="21"/>
              </w:rPr>
              <w:t>不溶于甘油，易溶于甲醇、乙醇、丙酮、乙醚。</w:t>
            </w:r>
          </w:p>
        </w:tc>
        <w:tc>
          <w:tcPr>
            <w:tcW w:w="620" w:type="pct"/>
            <w:shd w:val="clear" w:color="auto" w:fill="auto"/>
            <w:noWrap w:val="0"/>
            <w:vAlign w:val="center"/>
          </w:tcPr>
          <w:p w14:paraId="0FD901A4">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3"/>
                <w:sz w:val="21"/>
                <w:szCs w:val="21"/>
              </w:rPr>
              <w:t>不燃</w:t>
            </w:r>
          </w:p>
        </w:tc>
        <w:tc>
          <w:tcPr>
            <w:tcW w:w="953" w:type="pct"/>
            <w:shd w:val="clear" w:color="auto" w:fill="auto"/>
            <w:noWrap w:val="0"/>
            <w:vAlign w:val="center"/>
          </w:tcPr>
          <w:p w14:paraId="7B061A09">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LD</w:t>
            </w:r>
            <w:r>
              <w:rPr>
                <w:rFonts w:hint="eastAsia" w:ascii="宋体" w:hAnsi="宋体" w:eastAsia="宋体" w:cs="宋体"/>
                <w:spacing w:val="8"/>
                <w:sz w:val="21"/>
                <w:szCs w:val="21"/>
              </w:rPr>
              <w:t>50</w:t>
            </w:r>
            <w:r>
              <w:rPr>
                <w:rFonts w:hint="eastAsia" w:ascii="宋体" w:hAnsi="宋体" w:cs="宋体"/>
                <w:spacing w:val="8"/>
                <w:sz w:val="21"/>
                <w:szCs w:val="21"/>
                <w:lang w:eastAsia="zh-CN"/>
              </w:rPr>
              <w:t>:</w:t>
            </w:r>
            <w:r>
              <w:rPr>
                <w:rFonts w:hint="eastAsia" w:ascii="宋体" w:hAnsi="宋体" w:eastAsia="宋体" w:cs="宋体"/>
                <w:spacing w:val="8"/>
                <w:sz w:val="21"/>
                <w:szCs w:val="21"/>
              </w:rPr>
              <w:t>1872</w:t>
            </w:r>
            <w:r>
              <w:rPr>
                <w:rFonts w:hint="eastAsia" w:ascii="宋体" w:hAnsi="宋体" w:eastAsia="宋体" w:cs="宋体"/>
                <w:sz w:val="21"/>
                <w:szCs w:val="21"/>
              </w:rPr>
              <w:t>mg</w:t>
            </w:r>
            <w:r>
              <w:rPr>
                <w:rFonts w:hint="eastAsia" w:ascii="宋体" w:hAnsi="宋体" w:eastAsia="宋体" w:cs="宋体"/>
                <w:spacing w:val="8"/>
                <w:sz w:val="21"/>
                <w:szCs w:val="21"/>
              </w:rPr>
              <w:t>/</w:t>
            </w:r>
            <w:r>
              <w:rPr>
                <w:rFonts w:hint="eastAsia" w:ascii="宋体" w:hAnsi="宋体" w:eastAsia="宋体" w:cs="宋体"/>
                <w:sz w:val="21"/>
                <w:szCs w:val="21"/>
              </w:rPr>
              <w:t>kg</w:t>
            </w:r>
            <w:r>
              <w:rPr>
                <w:rFonts w:hint="eastAsia" w:ascii="宋体" w:hAnsi="宋体" w:eastAsia="宋体" w:cs="宋体"/>
                <w:spacing w:val="5"/>
                <w:sz w:val="21"/>
                <w:szCs w:val="21"/>
              </w:rPr>
              <w:t>（大鼠经口）</w:t>
            </w:r>
          </w:p>
        </w:tc>
      </w:tr>
      <w:tr w14:paraId="057B46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3" w:type="pct"/>
            <w:shd w:val="clear" w:color="auto" w:fill="auto"/>
            <w:noWrap w:val="0"/>
            <w:vAlign w:val="center"/>
          </w:tcPr>
          <w:p w14:paraId="52CDADF6">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4"/>
                <w:sz w:val="21"/>
                <w:szCs w:val="21"/>
              </w:rPr>
              <w:t>石灰</w:t>
            </w:r>
          </w:p>
        </w:tc>
        <w:tc>
          <w:tcPr>
            <w:tcW w:w="2861" w:type="pct"/>
            <w:shd w:val="clear" w:color="auto" w:fill="auto"/>
            <w:noWrap w:val="0"/>
            <w:vAlign w:val="center"/>
          </w:tcPr>
          <w:p w14:paraId="1E6C917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3"/>
                <w:sz w:val="21"/>
                <w:szCs w:val="21"/>
              </w:rPr>
              <w:t>主要成分为氧化钙，白色固体，碱性氧化物，溶于</w:t>
            </w:r>
            <w:r>
              <w:rPr>
                <w:rFonts w:hint="eastAsia" w:ascii="宋体" w:hAnsi="宋体" w:eastAsia="宋体" w:cs="宋体"/>
                <w:spacing w:val="-5"/>
                <w:sz w:val="21"/>
                <w:szCs w:val="21"/>
              </w:rPr>
              <w:t>酸类、甘油和蔗糖溶液，几乎不溶于乙醇。相对</w:t>
            </w:r>
            <w:r>
              <w:rPr>
                <w:rFonts w:hint="eastAsia" w:ascii="宋体" w:hAnsi="宋体" w:eastAsia="宋体" w:cs="宋体"/>
                <w:spacing w:val="-3"/>
                <w:sz w:val="21"/>
                <w:szCs w:val="21"/>
              </w:rPr>
              <w:t>密度3.32～3.35。熔点2572℃。沸点2850</w:t>
            </w:r>
            <w:r>
              <w:rPr>
                <w:rFonts w:hint="eastAsia" w:ascii="宋体" w:hAnsi="宋体" w:eastAsia="宋体" w:cs="宋体"/>
                <w:spacing w:val="-4"/>
                <w:sz w:val="21"/>
                <w:szCs w:val="21"/>
              </w:rPr>
              <w:t>℃。</w:t>
            </w:r>
          </w:p>
        </w:tc>
        <w:tc>
          <w:tcPr>
            <w:tcW w:w="620" w:type="pct"/>
            <w:shd w:val="clear" w:color="auto" w:fill="auto"/>
            <w:noWrap w:val="0"/>
            <w:vAlign w:val="center"/>
          </w:tcPr>
          <w:p w14:paraId="7284D487">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eastAsia" w:ascii="宋体" w:hAnsi="宋体" w:eastAsia="宋体" w:cs="宋体"/>
                <w:sz w:val="21"/>
                <w:szCs w:val="21"/>
              </w:rPr>
            </w:pPr>
          </w:p>
          <w:p w14:paraId="34A9FD0A">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3"/>
                <w:sz w:val="21"/>
                <w:szCs w:val="21"/>
              </w:rPr>
              <w:t>不燃</w:t>
            </w:r>
          </w:p>
        </w:tc>
        <w:tc>
          <w:tcPr>
            <w:tcW w:w="953" w:type="pct"/>
            <w:shd w:val="clear" w:color="auto" w:fill="auto"/>
            <w:noWrap w:val="0"/>
            <w:vAlign w:val="center"/>
          </w:tcPr>
          <w:p w14:paraId="02C58791">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8"/>
                <w:sz w:val="21"/>
                <w:szCs w:val="21"/>
              </w:rPr>
              <w:t>碱性腐蚀品</w:t>
            </w:r>
          </w:p>
        </w:tc>
      </w:tr>
      <w:tr w14:paraId="1A8552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3" w:type="pct"/>
            <w:shd w:val="clear" w:color="auto" w:fill="auto"/>
            <w:noWrap w:val="0"/>
            <w:vAlign w:val="center"/>
          </w:tcPr>
          <w:p w14:paraId="0BDA615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jc w:val="center"/>
              <w:textAlignment w:val="auto"/>
              <w:rPr>
                <w:rFonts w:hint="eastAsia" w:ascii="宋体" w:hAnsi="宋体" w:eastAsia="宋体" w:cs="宋体"/>
                <w:spacing w:val="3"/>
                <w:sz w:val="21"/>
                <w:szCs w:val="21"/>
              </w:rPr>
            </w:pPr>
            <w:r>
              <w:rPr>
                <w:rFonts w:hint="eastAsia" w:ascii="宋体" w:hAnsi="宋体" w:cs="宋体"/>
                <w:sz w:val="21"/>
                <w:szCs w:val="21"/>
                <w:vertAlign w:val="baseline"/>
                <w:lang w:val="en-US" w:eastAsia="zh-CN"/>
              </w:rPr>
              <w:t>除氟剂</w:t>
            </w:r>
          </w:p>
        </w:tc>
        <w:tc>
          <w:tcPr>
            <w:tcW w:w="2861" w:type="pct"/>
            <w:shd w:val="clear" w:color="auto" w:fill="auto"/>
            <w:noWrap w:val="0"/>
            <w:vAlign w:val="center"/>
          </w:tcPr>
          <w:p w14:paraId="4539019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jc w:val="both"/>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fldChar w:fldCharType="begin"/>
            </w:r>
            <w:r>
              <w:rPr>
                <w:rFonts w:hint="eastAsia" w:ascii="宋体" w:hAnsi="宋体" w:eastAsia="宋体" w:cs="宋体"/>
                <w:spacing w:val="3"/>
                <w:sz w:val="21"/>
                <w:szCs w:val="21"/>
              </w:rPr>
              <w:instrText xml:space="preserve"> HYPERLINK "https://baike.baidu.com/item/%E6%B4%BB%E6%80%A7/0?fromModule=lemma_inlink" \t "https://baike.baidu.com/item/%E6%B4%BB%E6%80%A7%E6%B0%A7%E5%8C%96%E9%93%9D/_blank" </w:instrText>
            </w:r>
            <w:r>
              <w:rPr>
                <w:rFonts w:hint="eastAsia" w:ascii="宋体" w:hAnsi="宋体" w:eastAsia="宋体" w:cs="宋体"/>
                <w:spacing w:val="3"/>
                <w:sz w:val="21"/>
                <w:szCs w:val="21"/>
              </w:rPr>
              <w:fldChar w:fldCharType="separate"/>
            </w:r>
            <w:r>
              <w:rPr>
                <w:rFonts w:hint="default" w:ascii="宋体" w:hAnsi="宋体" w:eastAsia="宋体" w:cs="宋体"/>
                <w:spacing w:val="3"/>
                <w:sz w:val="21"/>
                <w:szCs w:val="21"/>
              </w:rPr>
              <w:t>活性</w:t>
            </w:r>
            <w:r>
              <w:rPr>
                <w:rFonts w:hint="default" w:ascii="宋体" w:hAnsi="宋体" w:eastAsia="宋体" w:cs="宋体"/>
                <w:spacing w:val="3"/>
                <w:sz w:val="21"/>
                <w:szCs w:val="21"/>
              </w:rPr>
              <w:fldChar w:fldCharType="end"/>
            </w:r>
            <w:r>
              <w:rPr>
                <w:rFonts w:hint="default" w:ascii="宋体" w:hAnsi="宋体" w:eastAsia="宋体" w:cs="宋体"/>
                <w:spacing w:val="3"/>
                <w:sz w:val="21"/>
                <w:szCs w:val="21"/>
              </w:rPr>
              <w:fldChar w:fldCharType="begin"/>
            </w:r>
            <w:r>
              <w:rPr>
                <w:rFonts w:hint="default" w:ascii="宋体" w:hAnsi="宋体" w:eastAsia="宋体" w:cs="宋体"/>
                <w:spacing w:val="3"/>
                <w:sz w:val="21"/>
                <w:szCs w:val="21"/>
              </w:rPr>
              <w:instrText xml:space="preserve"> HYPERLINK "https://baike.baidu.com/item/%E6%B0%A7%E5%8C%96%E9%93%9D/0?fromModule=lemma_inlink" \t "https://baike.baidu.com/item/%E6%B4%BB%E6%80%A7%E6%B0%A7%E5%8C%96%E9%93%9D/_blank" </w:instrText>
            </w:r>
            <w:r>
              <w:rPr>
                <w:rFonts w:hint="default" w:ascii="宋体" w:hAnsi="宋体" w:eastAsia="宋体" w:cs="宋体"/>
                <w:spacing w:val="3"/>
                <w:sz w:val="21"/>
                <w:szCs w:val="21"/>
              </w:rPr>
              <w:fldChar w:fldCharType="separate"/>
            </w:r>
            <w:r>
              <w:rPr>
                <w:rFonts w:hint="default" w:ascii="宋体" w:hAnsi="宋体" w:eastAsia="宋体" w:cs="宋体"/>
                <w:spacing w:val="3"/>
                <w:sz w:val="21"/>
                <w:szCs w:val="21"/>
              </w:rPr>
              <w:t>氧化铝</w:t>
            </w:r>
            <w:r>
              <w:rPr>
                <w:rFonts w:hint="default" w:ascii="宋体" w:hAnsi="宋体" w:eastAsia="宋体" w:cs="宋体"/>
                <w:spacing w:val="3"/>
                <w:sz w:val="21"/>
                <w:szCs w:val="21"/>
              </w:rPr>
              <w:fldChar w:fldCharType="end"/>
            </w:r>
            <w:r>
              <w:rPr>
                <w:rFonts w:hint="default" w:ascii="宋体" w:hAnsi="宋体" w:eastAsia="宋体" w:cs="宋体"/>
                <w:spacing w:val="3"/>
                <w:sz w:val="21"/>
                <w:szCs w:val="21"/>
              </w:rPr>
              <w:t>，在催化剂中使用氧化铝的</w:t>
            </w:r>
            <w:r>
              <w:rPr>
                <w:rFonts w:hint="eastAsia" w:ascii="宋体" w:hAnsi="宋体" w:cs="宋体"/>
                <w:spacing w:val="3"/>
                <w:sz w:val="21"/>
                <w:szCs w:val="21"/>
                <w:lang w:eastAsia="zh-CN"/>
              </w:rPr>
              <w:t>通常</w:t>
            </w:r>
            <w:r>
              <w:rPr>
                <w:rFonts w:hint="default" w:ascii="宋体" w:hAnsi="宋体" w:eastAsia="宋体" w:cs="宋体"/>
                <w:spacing w:val="3"/>
                <w:sz w:val="21"/>
                <w:szCs w:val="21"/>
              </w:rPr>
              <w:t>称为“活性氧化铝”，它是一种多孔性、高分散度的固体材料，有很大的表面积，其微孔表面具备催化作用所要求的特性，如吸附性能、表面活性、优良的热稳定性等，所以被广泛地用作化学反应的催化剂和</w:t>
            </w:r>
            <w:r>
              <w:rPr>
                <w:rFonts w:hint="default" w:ascii="宋体" w:hAnsi="宋体" w:eastAsia="宋体" w:cs="宋体"/>
                <w:spacing w:val="3"/>
                <w:sz w:val="21"/>
                <w:szCs w:val="21"/>
              </w:rPr>
              <w:fldChar w:fldCharType="begin"/>
            </w:r>
            <w:r>
              <w:rPr>
                <w:rFonts w:hint="default" w:ascii="宋体" w:hAnsi="宋体" w:eastAsia="宋体" w:cs="宋体"/>
                <w:spacing w:val="3"/>
                <w:sz w:val="21"/>
                <w:szCs w:val="21"/>
              </w:rPr>
              <w:instrText xml:space="preserve"> HYPERLINK "https://baike.baidu.com/item/%E5%82%AC%E5%8C%96%E5%89%82%E8%BD%BD%E4%BD%93/10479419?fromModule=lemma_inlink" \t "https://baike.baidu.com/item/%E6%B4%BB%E6%80%A7%E6%B0%A7%E5%8C%96%E9%93%9D/_blank" </w:instrText>
            </w:r>
            <w:r>
              <w:rPr>
                <w:rFonts w:hint="default" w:ascii="宋体" w:hAnsi="宋体" w:eastAsia="宋体" w:cs="宋体"/>
                <w:spacing w:val="3"/>
                <w:sz w:val="21"/>
                <w:szCs w:val="21"/>
              </w:rPr>
              <w:fldChar w:fldCharType="separate"/>
            </w:r>
            <w:r>
              <w:rPr>
                <w:rFonts w:hint="default" w:ascii="宋体" w:hAnsi="宋体" w:eastAsia="宋体" w:cs="宋体"/>
                <w:spacing w:val="3"/>
                <w:sz w:val="21"/>
                <w:szCs w:val="21"/>
              </w:rPr>
              <w:t>催化剂载体</w:t>
            </w:r>
            <w:r>
              <w:rPr>
                <w:rFonts w:hint="default" w:ascii="宋体" w:hAnsi="宋体" w:eastAsia="宋体" w:cs="宋体"/>
                <w:spacing w:val="3"/>
                <w:sz w:val="21"/>
                <w:szCs w:val="21"/>
              </w:rPr>
              <w:fldChar w:fldCharType="end"/>
            </w:r>
            <w:r>
              <w:rPr>
                <w:rFonts w:hint="default" w:ascii="宋体" w:hAnsi="宋体" w:eastAsia="宋体" w:cs="宋体"/>
                <w:spacing w:val="3"/>
                <w:sz w:val="21"/>
                <w:szCs w:val="21"/>
              </w:rPr>
              <w:t>。球形活性氧化铝变压油吸附剂为白色球状多孔性颗粒，活性氧化铝粒度均匀，表面光滑，机械强度大，吸湿性强，吸水后不胀不裂保持原状，无毒、无嗅、不溶于水、乙醇。</w:t>
            </w:r>
          </w:p>
        </w:tc>
        <w:tc>
          <w:tcPr>
            <w:tcW w:w="620" w:type="pct"/>
            <w:shd w:val="clear" w:color="auto" w:fill="auto"/>
            <w:noWrap w:val="0"/>
            <w:vAlign w:val="center"/>
          </w:tcPr>
          <w:p w14:paraId="43E63E4D">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jc w:val="center"/>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不燃</w:t>
            </w:r>
          </w:p>
        </w:tc>
        <w:tc>
          <w:tcPr>
            <w:tcW w:w="953" w:type="pct"/>
            <w:shd w:val="clear" w:color="auto" w:fill="auto"/>
            <w:noWrap w:val="0"/>
            <w:vAlign w:val="center"/>
          </w:tcPr>
          <w:p w14:paraId="1D8AECCF">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jc w:val="center"/>
              <w:textAlignment w:val="auto"/>
              <w:rPr>
                <w:rFonts w:hint="eastAsia" w:ascii="宋体" w:hAnsi="宋体" w:eastAsia="宋体" w:cs="宋体"/>
                <w:spacing w:val="8"/>
                <w:sz w:val="21"/>
                <w:szCs w:val="21"/>
              </w:rPr>
            </w:pPr>
            <w:r>
              <w:rPr>
                <w:rFonts w:hint="eastAsia" w:ascii="宋体" w:hAnsi="宋体" w:eastAsia="宋体" w:cs="宋体"/>
                <w:spacing w:val="-3"/>
                <w:sz w:val="21"/>
                <w:szCs w:val="21"/>
              </w:rPr>
              <w:t>低毒</w:t>
            </w:r>
          </w:p>
        </w:tc>
      </w:tr>
      <w:tr w14:paraId="3CA15A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3" w:type="pct"/>
            <w:shd w:val="clear" w:color="auto" w:fill="auto"/>
            <w:noWrap w:val="0"/>
            <w:vAlign w:val="center"/>
          </w:tcPr>
          <w:p w14:paraId="0AC567D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cs="宋体"/>
                <w:sz w:val="21"/>
                <w:szCs w:val="21"/>
                <w:vertAlign w:val="baseline"/>
                <w:lang w:val="en-US" w:eastAsia="zh-CN"/>
              </w:rPr>
              <w:t>PAM</w:t>
            </w:r>
          </w:p>
        </w:tc>
        <w:tc>
          <w:tcPr>
            <w:tcW w:w="2861" w:type="pct"/>
            <w:shd w:val="clear" w:color="auto" w:fill="auto"/>
            <w:noWrap w:val="0"/>
            <w:vAlign w:val="center"/>
          </w:tcPr>
          <w:p w14:paraId="64115B2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jc w:val="both"/>
              <w:textAlignment w:val="auto"/>
              <w:rPr>
                <w:rFonts w:hint="eastAsia" w:ascii="宋体" w:hAnsi="宋体" w:eastAsia="宋体" w:cs="宋体"/>
                <w:spacing w:val="3"/>
                <w:sz w:val="21"/>
                <w:szCs w:val="21"/>
                <w:lang w:eastAsia="zh-CN"/>
              </w:rPr>
            </w:pPr>
            <w:r>
              <w:rPr>
                <w:rFonts w:hint="default" w:ascii="宋体" w:hAnsi="宋体" w:eastAsia="宋体" w:cs="宋体"/>
                <w:spacing w:val="3"/>
                <w:sz w:val="21"/>
                <w:szCs w:val="21"/>
              </w:rPr>
              <w:t>聚合氯化铝（PAC），简称聚铝，是介于AlCl</w:t>
            </w:r>
            <w:r>
              <w:rPr>
                <w:rFonts w:hint="default" w:ascii="宋体" w:hAnsi="宋体" w:eastAsia="宋体" w:cs="宋体"/>
                <w:spacing w:val="3"/>
                <w:sz w:val="21"/>
                <w:szCs w:val="21"/>
                <w:vertAlign w:val="subscript"/>
              </w:rPr>
              <w:t>3</w:t>
            </w:r>
            <w:r>
              <w:rPr>
                <w:rFonts w:hint="default" w:ascii="宋体" w:hAnsi="宋体" w:eastAsia="宋体" w:cs="宋体"/>
                <w:spacing w:val="3"/>
                <w:sz w:val="21"/>
                <w:szCs w:val="21"/>
              </w:rPr>
              <w:t>和Al(OH)</w:t>
            </w:r>
            <w:r>
              <w:rPr>
                <w:rFonts w:hint="default" w:ascii="宋体" w:hAnsi="宋体" w:eastAsia="宋体" w:cs="宋体"/>
                <w:spacing w:val="3"/>
                <w:sz w:val="21"/>
                <w:szCs w:val="21"/>
                <w:vertAlign w:val="subscript"/>
              </w:rPr>
              <w:t>3</w:t>
            </w:r>
            <w:r>
              <w:rPr>
                <w:rFonts w:hint="default" w:ascii="宋体" w:hAnsi="宋体" w:eastAsia="宋体" w:cs="宋体"/>
                <w:spacing w:val="3"/>
                <w:sz w:val="21"/>
                <w:szCs w:val="21"/>
              </w:rPr>
              <w:t>之间的一种水溶性无机高分子聚合物，化学通式为[Al2(OH)nCl6-n]m，其中m代表聚合程度，n表示PAC产品的中性程度，n=1~5为具有Keggin结构的高电荷聚合环链体，对水中胶体和颗粒物具有高度电中和及桥联作用，并可强力去除有毒物及重金属离子，性状稳定，常作为新兴净水材料、混凝剂，被广泛应用于饮用水、工业废水和城市污水的净化处理中</w:t>
            </w:r>
            <w:r>
              <w:rPr>
                <w:rFonts w:hint="eastAsia" w:ascii="宋体" w:hAnsi="宋体" w:cs="宋体"/>
                <w:spacing w:val="3"/>
                <w:sz w:val="21"/>
                <w:szCs w:val="21"/>
                <w:lang w:eastAsia="zh-CN"/>
              </w:rPr>
              <w:t>。</w:t>
            </w:r>
          </w:p>
        </w:tc>
        <w:tc>
          <w:tcPr>
            <w:tcW w:w="620" w:type="pct"/>
            <w:shd w:val="clear" w:color="auto" w:fill="auto"/>
            <w:noWrap w:val="0"/>
            <w:vAlign w:val="center"/>
          </w:tcPr>
          <w:p w14:paraId="6222FD58">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jc w:val="center"/>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不燃</w:t>
            </w:r>
          </w:p>
        </w:tc>
        <w:tc>
          <w:tcPr>
            <w:tcW w:w="953" w:type="pct"/>
            <w:shd w:val="clear" w:color="auto" w:fill="auto"/>
            <w:noWrap w:val="0"/>
            <w:vAlign w:val="center"/>
          </w:tcPr>
          <w:p w14:paraId="553ABB57">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jc w:val="center"/>
              <w:textAlignment w:val="auto"/>
              <w:rPr>
                <w:rFonts w:hint="eastAsia" w:ascii="宋体" w:hAnsi="宋体" w:eastAsia="宋体" w:cs="宋体"/>
                <w:spacing w:val="8"/>
                <w:sz w:val="21"/>
                <w:szCs w:val="21"/>
              </w:rPr>
            </w:pPr>
            <w:r>
              <w:rPr>
                <w:rFonts w:hint="eastAsia" w:ascii="宋体" w:hAnsi="宋体" w:eastAsia="宋体" w:cs="宋体"/>
                <w:spacing w:val="-3"/>
                <w:sz w:val="21"/>
                <w:szCs w:val="21"/>
              </w:rPr>
              <w:t>低毒</w:t>
            </w:r>
          </w:p>
        </w:tc>
      </w:tr>
      <w:tr w14:paraId="380E9F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3" w:type="pct"/>
            <w:shd w:val="clear" w:color="auto" w:fill="auto"/>
            <w:noWrap w:val="0"/>
            <w:vAlign w:val="center"/>
          </w:tcPr>
          <w:p w14:paraId="413C839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cs="宋体"/>
                <w:sz w:val="21"/>
                <w:szCs w:val="21"/>
                <w:vertAlign w:val="baseline"/>
                <w:lang w:val="en-US" w:eastAsia="zh-CN"/>
              </w:rPr>
              <w:t>液碱</w:t>
            </w:r>
          </w:p>
        </w:tc>
        <w:tc>
          <w:tcPr>
            <w:tcW w:w="2861" w:type="pct"/>
            <w:shd w:val="clear" w:color="auto" w:fill="auto"/>
            <w:noWrap w:val="0"/>
            <w:vAlign w:val="center"/>
          </w:tcPr>
          <w:p w14:paraId="1EEB25C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jc w:val="both"/>
              <w:textAlignment w:val="auto"/>
              <w:rPr>
                <w:rFonts w:hint="eastAsia" w:ascii="宋体" w:hAnsi="宋体" w:eastAsia="宋体" w:cs="宋体"/>
                <w:spacing w:val="3"/>
                <w:sz w:val="21"/>
                <w:szCs w:val="21"/>
              </w:rPr>
            </w:pPr>
            <w:r>
              <w:rPr>
                <w:rFonts w:hint="default" w:ascii="宋体" w:hAnsi="宋体" w:eastAsia="宋体" w:cs="宋体"/>
                <w:spacing w:val="3"/>
                <w:sz w:val="21"/>
                <w:szCs w:val="21"/>
                <w:lang w:val="en-US" w:eastAsia="zh-CN"/>
              </w:rPr>
              <w:t>氢氧化钠（Sodium hydroxide），也称</w:t>
            </w:r>
            <w:r>
              <w:rPr>
                <w:rFonts w:hint="default" w:ascii="宋体" w:hAnsi="宋体" w:eastAsia="宋体" w:cs="宋体"/>
                <w:spacing w:val="3"/>
                <w:sz w:val="21"/>
                <w:szCs w:val="21"/>
                <w:lang w:val="en-US" w:eastAsia="zh-CN"/>
              </w:rPr>
              <w:fldChar w:fldCharType="begin"/>
            </w:r>
            <w:r>
              <w:rPr>
                <w:rFonts w:hint="default" w:ascii="宋体" w:hAnsi="宋体" w:eastAsia="宋体" w:cs="宋体"/>
                <w:spacing w:val="3"/>
                <w:sz w:val="21"/>
                <w:szCs w:val="21"/>
                <w:lang w:val="en-US" w:eastAsia="zh-CN"/>
              </w:rPr>
              <w:instrText xml:space="preserve"> HYPERLINK "https://baike.baidu.com/item/%E8%8B%9B%E6%80%A7%E9%92%A0/3926819?fromModule=lemma_inlink" \t "https://baike.baidu.com/item/_blank" </w:instrText>
            </w:r>
            <w:r>
              <w:rPr>
                <w:rFonts w:hint="default" w:ascii="宋体" w:hAnsi="宋体" w:eastAsia="宋体" w:cs="宋体"/>
                <w:spacing w:val="3"/>
                <w:sz w:val="21"/>
                <w:szCs w:val="21"/>
                <w:lang w:val="en-US" w:eastAsia="zh-CN"/>
              </w:rPr>
              <w:fldChar w:fldCharType="separate"/>
            </w:r>
            <w:r>
              <w:rPr>
                <w:rFonts w:hint="default" w:ascii="宋体" w:hAnsi="宋体" w:eastAsia="宋体" w:cs="宋体"/>
                <w:spacing w:val="3"/>
                <w:sz w:val="21"/>
                <w:szCs w:val="21"/>
              </w:rPr>
              <w:t>苛性钠</w:t>
            </w:r>
            <w:r>
              <w:rPr>
                <w:rFonts w:hint="default" w:ascii="宋体" w:hAnsi="宋体" w:eastAsia="宋体" w:cs="宋体"/>
                <w:spacing w:val="3"/>
                <w:sz w:val="21"/>
                <w:szCs w:val="21"/>
                <w:lang w:val="en-US" w:eastAsia="zh-CN"/>
              </w:rPr>
              <w:fldChar w:fldCharType="end"/>
            </w:r>
            <w:r>
              <w:rPr>
                <w:rFonts w:hint="default" w:ascii="宋体" w:hAnsi="宋体" w:eastAsia="宋体" w:cs="宋体"/>
                <w:spacing w:val="3"/>
                <w:sz w:val="21"/>
                <w:szCs w:val="21"/>
                <w:lang w:val="en-US" w:eastAsia="zh-CN"/>
              </w:rPr>
              <w:t>、</w:t>
            </w:r>
            <w:r>
              <w:rPr>
                <w:rFonts w:hint="default" w:ascii="宋体" w:hAnsi="宋体" w:eastAsia="宋体" w:cs="宋体"/>
                <w:spacing w:val="3"/>
                <w:sz w:val="21"/>
                <w:szCs w:val="21"/>
                <w:lang w:val="en-US" w:eastAsia="zh-CN"/>
              </w:rPr>
              <w:fldChar w:fldCharType="begin"/>
            </w:r>
            <w:r>
              <w:rPr>
                <w:rFonts w:hint="default" w:ascii="宋体" w:hAnsi="宋体" w:eastAsia="宋体" w:cs="宋体"/>
                <w:spacing w:val="3"/>
                <w:sz w:val="21"/>
                <w:szCs w:val="21"/>
                <w:lang w:val="en-US" w:eastAsia="zh-CN"/>
              </w:rPr>
              <w:instrText xml:space="preserve"> HYPERLINK "https://baike.baidu.com/item/%E7%83%A7%E7%A2%B1/1400538?fromModule=lemma_inlink" \t "https://baike.baidu.com/item/_blank" </w:instrText>
            </w:r>
            <w:r>
              <w:rPr>
                <w:rFonts w:hint="default" w:ascii="宋体" w:hAnsi="宋体" w:eastAsia="宋体" w:cs="宋体"/>
                <w:spacing w:val="3"/>
                <w:sz w:val="21"/>
                <w:szCs w:val="21"/>
                <w:lang w:val="en-US" w:eastAsia="zh-CN"/>
              </w:rPr>
              <w:fldChar w:fldCharType="separate"/>
            </w:r>
            <w:r>
              <w:rPr>
                <w:rFonts w:hint="default" w:ascii="宋体" w:hAnsi="宋体" w:eastAsia="宋体" w:cs="宋体"/>
                <w:spacing w:val="3"/>
                <w:sz w:val="21"/>
                <w:szCs w:val="21"/>
              </w:rPr>
              <w:t>烧碱</w:t>
            </w:r>
            <w:r>
              <w:rPr>
                <w:rFonts w:hint="default" w:ascii="宋体" w:hAnsi="宋体" w:eastAsia="宋体" w:cs="宋体"/>
                <w:spacing w:val="3"/>
                <w:sz w:val="21"/>
                <w:szCs w:val="21"/>
                <w:lang w:val="en-US" w:eastAsia="zh-CN"/>
              </w:rPr>
              <w:fldChar w:fldCharType="end"/>
            </w:r>
            <w:r>
              <w:rPr>
                <w:rFonts w:hint="default" w:ascii="宋体" w:hAnsi="宋体" w:eastAsia="宋体" w:cs="宋体"/>
                <w:spacing w:val="3"/>
                <w:sz w:val="21"/>
                <w:szCs w:val="21"/>
                <w:lang w:val="en-US" w:eastAsia="zh-CN"/>
              </w:rPr>
              <w:t>、</w:t>
            </w:r>
            <w:r>
              <w:rPr>
                <w:rFonts w:hint="default" w:ascii="宋体" w:hAnsi="宋体" w:eastAsia="宋体" w:cs="宋体"/>
                <w:spacing w:val="3"/>
                <w:sz w:val="21"/>
                <w:szCs w:val="21"/>
                <w:lang w:val="en-US" w:eastAsia="zh-CN"/>
              </w:rPr>
              <w:fldChar w:fldCharType="begin"/>
            </w:r>
            <w:r>
              <w:rPr>
                <w:rFonts w:hint="default" w:ascii="宋体" w:hAnsi="宋体" w:eastAsia="宋体" w:cs="宋体"/>
                <w:spacing w:val="3"/>
                <w:sz w:val="21"/>
                <w:szCs w:val="21"/>
                <w:lang w:val="en-US" w:eastAsia="zh-CN"/>
              </w:rPr>
              <w:instrText xml:space="preserve"> HYPERLINK "https://baike.baidu.com/item/%E7%81%AB%E7%A2%B1/2751638?fromModule=lemma_inlink" \t "https://baike.baidu.com/item/_blank" </w:instrText>
            </w:r>
            <w:r>
              <w:rPr>
                <w:rFonts w:hint="default" w:ascii="宋体" w:hAnsi="宋体" w:eastAsia="宋体" w:cs="宋体"/>
                <w:spacing w:val="3"/>
                <w:sz w:val="21"/>
                <w:szCs w:val="21"/>
                <w:lang w:val="en-US" w:eastAsia="zh-CN"/>
              </w:rPr>
              <w:fldChar w:fldCharType="separate"/>
            </w:r>
            <w:r>
              <w:rPr>
                <w:rFonts w:hint="default" w:ascii="宋体" w:hAnsi="宋体" w:eastAsia="宋体" w:cs="宋体"/>
                <w:spacing w:val="3"/>
                <w:sz w:val="21"/>
                <w:szCs w:val="21"/>
              </w:rPr>
              <w:t>火碱</w:t>
            </w:r>
            <w:r>
              <w:rPr>
                <w:rFonts w:hint="default" w:ascii="宋体" w:hAnsi="宋体" w:eastAsia="宋体" w:cs="宋体"/>
                <w:spacing w:val="3"/>
                <w:sz w:val="21"/>
                <w:szCs w:val="21"/>
                <w:lang w:val="en-US" w:eastAsia="zh-CN"/>
              </w:rPr>
              <w:fldChar w:fldCharType="end"/>
            </w:r>
            <w:r>
              <w:rPr>
                <w:rFonts w:hint="default" w:ascii="宋体" w:hAnsi="宋体" w:eastAsia="宋体" w:cs="宋体"/>
                <w:spacing w:val="3"/>
                <w:sz w:val="21"/>
                <w:szCs w:val="21"/>
                <w:lang w:val="en-US" w:eastAsia="zh-CN"/>
              </w:rPr>
              <w:t>、</w:t>
            </w:r>
            <w:r>
              <w:rPr>
                <w:rFonts w:hint="default" w:ascii="宋体" w:hAnsi="宋体" w:eastAsia="宋体" w:cs="宋体"/>
                <w:spacing w:val="3"/>
                <w:sz w:val="21"/>
                <w:szCs w:val="21"/>
                <w:lang w:val="en-US" w:eastAsia="zh-CN"/>
              </w:rPr>
              <w:fldChar w:fldCharType="begin"/>
            </w:r>
            <w:r>
              <w:rPr>
                <w:rFonts w:hint="default" w:ascii="宋体" w:hAnsi="宋体" w:eastAsia="宋体" w:cs="宋体"/>
                <w:spacing w:val="3"/>
                <w:sz w:val="21"/>
                <w:szCs w:val="21"/>
                <w:lang w:val="en-US" w:eastAsia="zh-CN"/>
              </w:rPr>
              <w:instrText xml:space="preserve"> HYPERLINK "https://baike.baidu.com/item/%E7%89%87%E7%A2%B1/10779075?fromModule=lemma_inlink" \t "https://baike.baidu.com/item/_blank" </w:instrText>
            </w:r>
            <w:r>
              <w:rPr>
                <w:rFonts w:hint="default" w:ascii="宋体" w:hAnsi="宋体" w:eastAsia="宋体" w:cs="宋体"/>
                <w:spacing w:val="3"/>
                <w:sz w:val="21"/>
                <w:szCs w:val="21"/>
                <w:lang w:val="en-US" w:eastAsia="zh-CN"/>
              </w:rPr>
              <w:fldChar w:fldCharType="separate"/>
            </w:r>
            <w:r>
              <w:rPr>
                <w:rFonts w:hint="default" w:ascii="宋体" w:hAnsi="宋体" w:eastAsia="宋体" w:cs="宋体"/>
                <w:spacing w:val="3"/>
                <w:sz w:val="21"/>
                <w:szCs w:val="21"/>
              </w:rPr>
              <w:t>片碱</w:t>
            </w:r>
            <w:r>
              <w:rPr>
                <w:rFonts w:hint="default" w:ascii="宋体" w:hAnsi="宋体" w:eastAsia="宋体" w:cs="宋体"/>
                <w:spacing w:val="3"/>
                <w:sz w:val="21"/>
                <w:szCs w:val="21"/>
                <w:lang w:val="en-US" w:eastAsia="zh-CN"/>
              </w:rPr>
              <w:fldChar w:fldCharType="end"/>
            </w:r>
            <w:r>
              <w:rPr>
                <w:rFonts w:hint="default" w:ascii="宋体" w:hAnsi="宋体" w:eastAsia="宋体" w:cs="宋体"/>
                <w:spacing w:val="3"/>
                <w:sz w:val="21"/>
                <w:szCs w:val="21"/>
                <w:lang w:val="en-US" w:eastAsia="zh-CN"/>
              </w:rPr>
              <w:t>，是一种无机化合物，化学式NaOH，相对分子量为39.9970。氢氧化钠具有强碱性，腐蚀性极强，可作酸中和剂、配合掩蔽剂、沉淀剂、沉淀掩蔽剂、显色剂、皂化剂、去皮剂、洗涤剂等，用途非常广泛。</w:t>
            </w:r>
          </w:p>
        </w:tc>
        <w:tc>
          <w:tcPr>
            <w:tcW w:w="620" w:type="pct"/>
            <w:shd w:val="clear" w:color="auto" w:fill="auto"/>
            <w:noWrap w:val="0"/>
            <w:vAlign w:val="center"/>
          </w:tcPr>
          <w:p w14:paraId="06EAB5F1">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jc w:val="center"/>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不燃</w:t>
            </w:r>
          </w:p>
        </w:tc>
        <w:tc>
          <w:tcPr>
            <w:tcW w:w="953" w:type="pct"/>
            <w:shd w:val="clear" w:color="auto" w:fill="auto"/>
            <w:noWrap w:val="0"/>
            <w:vAlign w:val="center"/>
          </w:tcPr>
          <w:p w14:paraId="4ACEA1EE">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jc w:val="center"/>
              <w:textAlignment w:val="auto"/>
              <w:rPr>
                <w:rFonts w:hint="eastAsia" w:ascii="宋体" w:hAnsi="宋体" w:eastAsia="宋体" w:cs="宋体"/>
                <w:spacing w:val="8"/>
                <w:sz w:val="21"/>
                <w:szCs w:val="21"/>
              </w:rPr>
            </w:pPr>
            <w:r>
              <w:rPr>
                <w:rFonts w:hint="default" w:ascii="宋体" w:hAnsi="宋体" w:eastAsia="宋体" w:cs="宋体"/>
                <w:spacing w:val="3"/>
                <w:sz w:val="21"/>
                <w:szCs w:val="21"/>
                <w:lang w:val="en-US" w:eastAsia="zh-CN"/>
              </w:rPr>
              <w:t>强腐蚀性</w:t>
            </w:r>
          </w:p>
        </w:tc>
      </w:tr>
    </w:tbl>
    <w:p w14:paraId="3B03C7C3">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1"/>
        <w:rPr>
          <w:rFonts w:hint="eastAsia" w:ascii="宋体" w:hAnsi="宋体" w:eastAsia="宋体" w:cs="宋体"/>
          <w:b/>
          <w:bCs/>
          <w:color w:val="000000"/>
          <w:kern w:val="0"/>
          <w:sz w:val="28"/>
          <w:szCs w:val="28"/>
          <w:lang w:val="en-US" w:eastAsia="zh-CN" w:bidi="ar"/>
        </w:rPr>
      </w:pPr>
      <w:bookmarkStart w:id="18" w:name="_Toc31071"/>
      <w:r>
        <w:rPr>
          <w:rFonts w:hint="default" w:ascii="宋体" w:hAnsi="宋体" w:eastAsia="宋体" w:cs="宋体"/>
          <w:b/>
          <w:bCs/>
          <w:color w:val="000000"/>
          <w:kern w:val="0"/>
          <w:sz w:val="28"/>
          <w:szCs w:val="28"/>
          <w:lang w:val="en-US" w:eastAsia="zh-CN" w:bidi="ar"/>
        </w:rPr>
        <w:t>3.</w:t>
      </w:r>
      <w:r>
        <w:rPr>
          <w:rFonts w:hint="eastAsia" w:ascii="宋体" w:hAnsi="宋体" w:eastAsia="宋体" w:cs="宋体"/>
          <w:b/>
          <w:bCs/>
          <w:color w:val="000000"/>
          <w:kern w:val="0"/>
          <w:sz w:val="28"/>
          <w:szCs w:val="28"/>
          <w:lang w:val="en-US" w:eastAsia="zh-CN" w:bidi="ar"/>
        </w:rPr>
        <w:t>4  工作制度及劳动定员</w:t>
      </w:r>
      <w:bookmarkEnd w:id="18"/>
    </w:p>
    <w:p w14:paraId="460B81A6">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项目新增劳动定员10人，年运行</w:t>
      </w:r>
      <w:r>
        <w:rPr>
          <w:rFonts w:hint="default" w:ascii="宋体" w:hAnsi="宋体" w:eastAsia="宋体" w:cs="宋体"/>
          <w:color w:val="000000"/>
          <w:kern w:val="0"/>
          <w:sz w:val="24"/>
          <w:szCs w:val="24"/>
          <w:lang w:val="en-US" w:eastAsia="zh-CN" w:bidi="ar"/>
        </w:rPr>
        <w:t>365</w:t>
      </w:r>
      <w:r>
        <w:rPr>
          <w:rFonts w:hint="eastAsia" w:ascii="宋体" w:hAnsi="宋体" w:eastAsia="宋体" w:cs="宋体"/>
          <w:color w:val="000000"/>
          <w:kern w:val="0"/>
          <w:sz w:val="24"/>
          <w:szCs w:val="24"/>
          <w:lang w:val="en-US" w:eastAsia="zh-CN" w:bidi="ar"/>
        </w:rPr>
        <w:t>天，实行四班三运转，每天工作</w:t>
      </w:r>
      <w:r>
        <w:rPr>
          <w:rFonts w:hint="default" w:ascii="宋体" w:hAnsi="宋体" w:eastAsia="宋体" w:cs="宋体"/>
          <w:color w:val="000000"/>
          <w:kern w:val="0"/>
          <w:sz w:val="24"/>
          <w:szCs w:val="24"/>
          <w:lang w:val="en-US" w:eastAsia="zh-CN" w:bidi="ar"/>
        </w:rPr>
        <w:t>24</w:t>
      </w:r>
      <w:r>
        <w:rPr>
          <w:rFonts w:hint="eastAsia" w:ascii="宋体" w:hAnsi="宋体" w:eastAsia="宋体" w:cs="宋体"/>
          <w:color w:val="000000"/>
          <w:kern w:val="0"/>
          <w:sz w:val="24"/>
          <w:szCs w:val="24"/>
          <w:lang w:val="en-US" w:eastAsia="zh-CN" w:bidi="ar"/>
        </w:rPr>
        <w:t>小时，年工作时数</w:t>
      </w:r>
      <w:r>
        <w:rPr>
          <w:rFonts w:hint="default" w:ascii="宋体" w:hAnsi="宋体" w:eastAsia="宋体" w:cs="宋体"/>
          <w:color w:val="000000"/>
          <w:kern w:val="0"/>
          <w:sz w:val="24"/>
          <w:szCs w:val="24"/>
          <w:lang w:val="en-US" w:eastAsia="zh-CN" w:bidi="ar"/>
        </w:rPr>
        <w:t>8760</w:t>
      </w:r>
      <w:r>
        <w:rPr>
          <w:rFonts w:hint="eastAsia" w:ascii="宋体" w:hAnsi="宋体" w:eastAsia="宋体" w:cs="宋体"/>
          <w:color w:val="000000"/>
          <w:kern w:val="0"/>
          <w:sz w:val="24"/>
          <w:szCs w:val="24"/>
          <w:lang w:val="en-US" w:eastAsia="zh-CN" w:bidi="ar"/>
        </w:rPr>
        <w:t>小时。</w:t>
      </w:r>
    </w:p>
    <w:p w14:paraId="1C010F2E">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1"/>
        <w:rPr>
          <w:rFonts w:hint="eastAsia" w:ascii="宋体" w:hAnsi="宋体" w:eastAsia="宋体" w:cs="宋体"/>
          <w:b/>
          <w:bCs/>
          <w:color w:val="000000"/>
          <w:kern w:val="0"/>
          <w:sz w:val="28"/>
          <w:szCs w:val="28"/>
          <w:lang w:val="en-US" w:eastAsia="zh-CN" w:bidi="ar"/>
        </w:rPr>
      </w:pPr>
      <w:bookmarkStart w:id="19" w:name="_Toc7635"/>
      <w:r>
        <w:rPr>
          <w:rFonts w:hint="default" w:ascii="宋体" w:hAnsi="宋体" w:eastAsia="宋体" w:cs="宋体"/>
          <w:b/>
          <w:bCs/>
          <w:color w:val="000000"/>
          <w:kern w:val="0"/>
          <w:sz w:val="28"/>
          <w:szCs w:val="28"/>
          <w:lang w:val="en-US" w:eastAsia="zh-CN" w:bidi="ar"/>
        </w:rPr>
        <w:t>3.</w:t>
      </w:r>
      <w:r>
        <w:rPr>
          <w:rFonts w:hint="eastAsia" w:ascii="宋体" w:hAnsi="宋体" w:eastAsia="宋体" w:cs="宋体"/>
          <w:b/>
          <w:bCs/>
          <w:color w:val="000000"/>
          <w:kern w:val="0"/>
          <w:sz w:val="28"/>
          <w:szCs w:val="28"/>
          <w:lang w:val="en-US" w:eastAsia="zh-CN" w:bidi="ar"/>
        </w:rPr>
        <w:t>5  公用工程</w:t>
      </w:r>
      <w:bookmarkEnd w:id="19"/>
    </w:p>
    <w:p w14:paraId="4AE9A995">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2"/>
        <w:rPr>
          <w:rFonts w:hint="eastAsia" w:ascii="宋体" w:hAnsi="宋体" w:eastAsia="宋体" w:cs="宋体"/>
          <w:b/>
          <w:bCs/>
          <w:color w:val="000000"/>
          <w:kern w:val="0"/>
          <w:sz w:val="24"/>
          <w:szCs w:val="24"/>
          <w:lang w:val="en-US" w:eastAsia="zh-CN" w:bidi="ar"/>
        </w:rPr>
      </w:pPr>
      <w:bookmarkStart w:id="20" w:name="_Toc12441"/>
      <w:r>
        <w:rPr>
          <w:rFonts w:hint="default" w:ascii="宋体" w:hAnsi="宋体" w:eastAsia="宋体" w:cs="宋体"/>
          <w:b/>
          <w:bCs/>
          <w:color w:val="000000"/>
          <w:kern w:val="0"/>
          <w:sz w:val="24"/>
          <w:szCs w:val="24"/>
          <w:lang w:val="en-US" w:eastAsia="zh-CN" w:bidi="ar"/>
        </w:rPr>
        <w:t>3.</w:t>
      </w:r>
      <w:r>
        <w:rPr>
          <w:rFonts w:hint="eastAsia" w:ascii="宋体" w:hAnsi="宋体" w:eastAsia="宋体" w:cs="宋体"/>
          <w:b/>
          <w:bCs/>
          <w:color w:val="000000"/>
          <w:kern w:val="0"/>
          <w:sz w:val="24"/>
          <w:szCs w:val="24"/>
          <w:lang w:val="en-US" w:eastAsia="zh-CN" w:bidi="ar"/>
        </w:rPr>
        <w:t>5</w:t>
      </w:r>
      <w:r>
        <w:rPr>
          <w:rFonts w:hint="default" w:ascii="宋体" w:hAnsi="宋体" w:eastAsia="宋体" w:cs="宋体"/>
          <w:b/>
          <w:bCs/>
          <w:color w:val="000000"/>
          <w:kern w:val="0"/>
          <w:sz w:val="24"/>
          <w:szCs w:val="24"/>
          <w:lang w:val="en-US" w:eastAsia="zh-CN" w:bidi="ar"/>
        </w:rPr>
        <w:t>.1</w:t>
      </w:r>
      <w:r>
        <w:rPr>
          <w:rFonts w:hint="eastAsia" w:ascii="宋体" w:hAnsi="宋体" w:eastAsia="宋体" w:cs="宋体"/>
          <w:b/>
          <w:bCs/>
          <w:color w:val="000000"/>
          <w:kern w:val="0"/>
          <w:sz w:val="24"/>
          <w:szCs w:val="24"/>
          <w:lang w:val="en-US" w:eastAsia="zh-CN" w:bidi="ar"/>
        </w:rPr>
        <w:t xml:space="preserve">  供电</w:t>
      </w:r>
      <w:bookmarkEnd w:id="20"/>
    </w:p>
    <w:p w14:paraId="6252F0C0">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本项目用电由市政电网接入，实际用电量约96万</w:t>
      </w:r>
      <w:r>
        <w:rPr>
          <w:rFonts w:hint="eastAsia" w:ascii="宋体" w:hAnsi="宋体" w:cs="宋体"/>
          <w:color w:val="000000"/>
          <w:kern w:val="0"/>
          <w:sz w:val="24"/>
          <w:szCs w:val="24"/>
          <w:lang w:val="en-US" w:eastAsia="zh-CN" w:bidi="ar"/>
        </w:rPr>
        <w:t>kW</w:t>
      </w:r>
      <w:r>
        <w:rPr>
          <w:rFonts w:hint="default" w:ascii="宋体" w:hAnsi="宋体" w:eastAsia="宋体" w:cs="宋体"/>
          <w:color w:val="000000"/>
          <w:kern w:val="0"/>
          <w:sz w:val="24"/>
          <w:szCs w:val="24"/>
          <w:lang w:val="en-US" w:eastAsia="zh-CN" w:bidi="ar"/>
        </w:rPr>
        <w:t>·h/</w:t>
      </w:r>
      <w:r>
        <w:rPr>
          <w:rFonts w:hint="eastAsia" w:ascii="宋体" w:hAnsi="宋体" w:eastAsia="宋体" w:cs="宋体"/>
          <w:color w:val="000000"/>
          <w:kern w:val="0"/>
          <w:sz w:val="24"/>
          <w:szCs w:val="24"/>
          <w:lang w:val="en-US" w:eastAsia="zh-CN" w:bidi="ar"/>
        </w:rPr>
        <w:t>a。</w:t>
      </w:r>
    </w:p>
    <w:p w14:paraId="3E6C0246">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2"/>
        <w:rPr>
          <w:rFonts w:hint="default" w:ascii="宋体" w:hAnsi="宋体" w:eastAsia="宋体" w:cs="宋体"/>
          <w:b/>
          <w:bCs/>
          <w:color w:val="000000"/>
          <w:kern w:val="0"/>
          <w:sz w:val="24"/>
          <w:szCs w:val="24"/>
          <w:lang w:val="en-US" w:eastAsia="zh-CN" w:bidi="ar"/>
        </w:rPr>
      </w:pPr>
      <w:bookmarkStart w:id="21" w:name="_Toc16017"/>
      <w:r>
        <w:rPr>
          <w:rFonts w:hint="eastAsia" w:ascii="宋体" w:hAnsi="宋体" w:eastAsia="宋体" w:cs="宋体"/>
          <w:b/>
          <w:bCs/>
          <w:color w:val="000000"/>
          <w:kern w:val="0"/>
          <w:sz w:val="24"/>
          <w:szCs w:val="24"/>
          <w:lang w:val="en-US" w:eastAsia="zh-CN" w:bidi="ar"/>
        </w:rPr>
        <w:t>3.5.2  供水</w:t>
      </w:r>
      <w:bookmarkEnd w:id="21"/>
    </w:p>
    <w:p w14:paraId="77AAE4F5">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项目供水</w:t>
      </w:r>
      <w:r>
        <w:rPr>
          <w:rFonts w:hint="eastAsia" w:ascii="宋体" w:hAnsi="宋体" w:cs="宋体"/>
          <w:color w:val="000000"/>
          <w:kern w:val="0"/>
          <w:sz w:val="24"/>
          <w:szCs w:val="24"/>
          <w:lang w:val="en-US" w:eastAsia="zh-CN" w:bidi="ar"/>
        </w:rPr>
        <w:t>来自</w:t>
      </w:r>
      <w:r>
        <w:rPr>
          <w:rFonts w:hint="eastAsia" w:ascii="宋体" w:hAnsi="宋体" w:eastAsia="宋体" w:cs="宋体"/>
          <w:color w:val="000000"/>
          <w:kern w:val="0"/>
          <w:sz w:val="24"/>
          <w:szCs w:val="24"/>
          <w:lang w:val="en-US" w:eastAsia="zh-CN" w:bidi="ar"/>
        </w:rPr>
        <w:t>县供水管网，新增生活用水量约为180m</w:t>
      </w:r>
      <w:r>
        <w:rPr>
          <w:rFonts w:hint="eastAsia" w:ascii="宋体" w:hAnsi="宋体" w:eastAsia="宋体" w:cs="宋体"/>
          <w:color w:val="000000"/>
          <w:kern w:val="0"/>
          <w:sz w:val="24"/>
          <w:szCs w:val="24"/>
          <w:vertAlign w:val="superscript"/>
          <w:lang w:val="en-US" w:eastAsia="zh-CN" w:bidi="ar"/>
        </w:rPr>
        <w:t>3</w:t>
      </w:r>
      <w:r>
        <w:rPr>
          <w:rFonts w:hint="eastAsia" w:ascii="宋体" w:hAnsi="宋体" w:eastAsia="宋体" w:cs="宋体"/>
          <w:color w:val="000000"/>
          <w:kern w:val="0"/>
          <w:sz w:val="24"/>
          <w:szCs w:val="24"/>
          <w:lang w:val="en-US" w:eastAsia="zh-CN" w:bidi="ar"/>
        </w:rPr>
        <w:t>/a。</w:t>
      </w:r>
    </w:p>
    <w:p w14:paraId="6EC288EB">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2"/>
        <w:rPr>
          <w:rFonts w:hint="default" w:ascii="宋体" w:hAnsi="宋体" w:eastAsia="宋体" w:cs="宋体"/>
          <w:b/>
          <w:bCs/>
          <w:color w:val="000000"/>
          <w:kern w:val="0"/>
          <w:sz w:val="24"/>
          <w:szCs w:val="24"/>
          <w:lang w:val="en-US" w:eastAsia="zh-CN" w:bidi="ar"/>
        </w:rPr>
      </w:pPr>
      <w:bookmarkStart w:id="22" w:name="_Toc11708"/>
      <w:r>
        <w:rPr>
          <w:rFonts w:hint="default" w:ascii="宋体" w:hAnsi="宋体" w:eastAsia="宋体" w:cs="宋体"/>
          <w:b/>
          <w:bCs/>
          <w:color w:val="000000"/>
          <w:kern w:val="0"/>
          <w:sz w:val="24"/>
          <w:szCs w:val="24"/>
          <w:lang w:val="en-US" w:eastAsia="zh-CN" w:bidi="ar"/>
        </w:rPr>
        <w:t>3.</w:t>
      </w:r>
      <w:r>
        <w:rPr>
          <w:rFonts w:hint="eastAsia" w:ascii="宋体" w:hAnsi="宋体" w:eastAsia="宋体" w:cs="宋体"/>
          <w:b/>
          <w:bCs/>
          <w:color w:val="000000"/>
          <w:kern w:val="0"/>
          <w:sz w:val="24"/>
          <w:szCs w:val="24"/>
          <w:lang w:val="en-US" w:eastAsia="zh-CN" w:bidi="ar"/>
        </w:rPr>
        <w:t>5</w:t>
      </w:r>
      <w:r>
        <w:rPr>
          <w:rFonts w:hint="default" w:ascii="宋体" w:hAnsi="宋体" w:eastAsia="宋体" w:cs="宋体"/>
          <w:b/>
          <w:bCs/>
          <w:color w:val="000000"/>
          <w:kern w:val="0"/>
          <w:sz w:val="24"/>
          <w:szCs w:val="24"/>
          <w:lang w:val="en-US" w:eastAsia="zh-CN" w:bidi="ar"/>
        </w:rPr>
        <w:t>.</w:t>
      </w:r>
      <w:r>
        <w:rPr>
          <w:rFonts w:hint="eastAsia" w:ascii="宋体" w:hAnsi="宋体" w:cs="宋体"/>
          <w:b/>
          <w:bCs/>
          <w:color w:val="000000"/>
          <w:kern w:val="0"/>
          <w:sz w:val="24"/>
          <w:szCs w:val="24"/>
          <w:lang w:val="en-US" w:eastAsia="zh-CN" w:bidi="ar"/>
        </w:rPr>
        <w:t>3</w:t>
      </w:r>
      <w:r>
        <w:rPr>
          <w:rFonts w:hint="eastAsia" w:ascii="宋体" w:hAnsi="宋体" w:eastAsia="宋体" w:cs="宋体"/>
          <w:b/>
          <w:bCs/>
          <w:color w:val="000000"/>
          <w:kern w:val="0"/>
          <w:sz w:val="24"/>
          <w:szCs w:val="24"/>
          <w:lang w:val="en-US" w:eastAsia="zh-CN" w:bidi="ar"/>
        </w:rPr>
        <w:t xml:space="preserve">  排水</w:t>
      </w:r>
      <w:bookmarkEnd w:id="22"/>
    </w:p>
    <w:p w14:paraId="13F7C66C">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本项目新增定员10人，新增生活用水量约为180m</w:t>
      </w:r>
      <w:r>
        <w:rPr>
          <w:rFonts w:hint="eastAsia" w:ascii="宋体" w:hAnsi="宋体" w:eastAsia="宋体" w:cs="宋体"/>
          <w:color w:val="000000"/>
          <w:kern w:val="0"/>
          <w:sz w:val="24"/>
          <w:szCs w:val="24"/>
          <w:vertAlign w:val="superscript"/>
          <w:lang w:val="en-US" w:eastAsia="zh-CN" w:bidi="ar"/>
        </w:rPr>
        <w:t>3</w:t>
      </w:r>
      <w:r>
        <w:rPr>
          <w:rFonts w:hint="eastAsia" w:ascii="宋体" w:hAnsi="宋体" w:eastAsia="宋体" w:cs="宋体"/>
          <w:color w:val="000000"/>
          <w:kern w:val="0"/>
          <w:sz w:val="24"/>
          <w:szCs w:val="24"/>
          <w:lang w:val="en-US" w:eastAsia="zh-CN" w:bidi="ar"/>
        </w:rPr>
        <w:t>/a（0.493m</w:t>
      </w:r>
      <w:r>
        <w:rPr>
          <w:rFonts w:hint="eastAsia" w:ascii="宋体" w:hAnsi="宋体" w:eastAsia="宋体" w:cs="宋体"/>
          <w:color w:val="000000"/>
          <w:kern w:val="0"/>
          <w:sz w:val="24"/>
          <w:szCs w:val="24"/>
          <w:vertAlign w:val="superscript"/>
          <w:lang w:val="en-US" w:eastAsia="zh-CN" w:bidi="ar"/>
        </w:rPr>
        <w:t>3</w:t>
      </w:r>
      <w:r>
        <w:rPr>
          <w:rFonts w:hint="eastAsia" w:ascii="宋体" w:hAnsi="宋体" w:eastAsia="宋体" w:cs="宋体"/>
          <w:color w:val="000000"/>
          <w:kern w:val="0"/>
          <w:sz w:val="24"/>
          <w:szCs w:val="24"/>
          <w:lang w:val="en-US" w:eastAsia="zh-CN" w:bidi="ar"/>
        </w:rPr>
        <w:t>/d），本项目属于和县经济开发区污水处理厂的纳污范围，产生的生活污水经化粪池预处理达到和县经济开发区污水处理厂进水标准后纳入和县经济开发区污水处理厂一并处理。</w:t>
      </w:r>
    </w:p>
    <w:p w14:paraId="2D41F6B4">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宋体" w:hAnsi="宋体" w:eastAsia="宋体" w:cs="宋体"/>
          <w:color w:val="000000"/>
          <w:kern w:val="0"/>
          <w:sz w:val="24"/>
          <w:szCs w:val="24"/>
          <w:lang w:val="en-US" w:eastAsia="zh-CN" w:bidi="ar"/>
        </w:rPr>
      </w:pPr>
      <w:r>
        <w:drawing>
          <wp:inline distT="0" distB="0" distL="114300" distR="114300">
            <wp:extent cx="5270500" cy="1429385"/>
            <wp:effectExtent l="0" t="0" r="6350" b="184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270500" cy="1429385"/>
                    </a:xfrm>
                    <a:prstGeom prst="rect">
                      <a:avLst/>
                    </a:prstGeom>
                    <a:noFill/>
                    <a:ln>
                      <a:noFill/>
                    </a:ln>
                  </pic:spPr>
                </pic:pic>
              </a:graphicData>
            </a:graphic>
          </wp:inline>
        </w:drawing>
      </w:r>
    </w:p>
    <w:p w14:paraId="5AED7266">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b/>
          <w:bCs/>
          <w:color w:val="000000"/>
          <w:kern w:val="0"/>
          <w:sz w:val="24"/>
          <w:szCs w:val="24"/>
          <w:lang w:val="en-US" w:eastAsia="zh-CN" w:bidi="ar"/>
        </w:rPr>
        <w:t>图3.5-1  和县经济开发区污水处理厂水平衡图（m</w:t>
      </w:r>
      <w:r>
        <w:rPr>
          <w:rFonts w:hint="eastAsia" w:ascii="宋体" w:hAnsi="宋体" w:eastAsia="宋体" w:cs="宋体"/>
          <w:b/>
          <w:bCs/>
          <w:color w:val="000000"/>
          <w:kern w:val="0"/>
          <w:sz w:val="24"/>
          <w:szCs w:val="24"/>
          <w:vertAlign w:val="superscript"/>
          <w:lang w:val="en-US" w:eastAsia="zh-CN" w:bidi="ar"/>
        </w:rPr>
        <w:t>3</w:t>
      </w:r>
      <w:r>
        <w:rPr>
          <w:rFonts w:hint="eastAsia" w:ascii="宋体" w:hAnsi="宋体" w:eastAsia="宋体" w:cs="宋体"/>
          <w:b/>
          <w:bCs/>
          <w:color w:val="000000"/>
          <w:kern w:val="0"/>
          <w:sz w:val="24"/>
          <w:szCs w:val="24"/>
          <w:lang w:val="en-US" w:eastAsia="zh-CN" w:bidi="ar"/>
        </w:rPr>
        <w:t>/d）</w:t>
      </w:r>
    </w:p>
    <w:p w14:paraId="38A72DD8">
      <w:pPr>
        <w:rPr>
          <w:rFonts w:hint="eastAsia" w:ascii="宋体" w:hAnsi="宋体" w:eastAsia="宋体" w:cs="宋体"/>
          <w:b/>
          <w:bCs/>
          <w:color w:val="000000"/>
          <w:kern w:val="0"/>
          <w:sz w:val="28"/>
          <w:szCs w:val="28"/>
          <w:lang w:val="en-US" w:eastAsia="zh-CN" w:bidi="ar"/>
        </w:rPr>
      </w:pPr>
      <w:bookmarkStart w:id="23" w:name="_Toc4408"/>
      <w:r>
        <w:rPr>
          <w:rFonts w:hint="eastAsia" w:ascii="宋体" w:hAnsi="宋体" w:eastAsia="宋体" w:cs="宋体"/>
          <w:b/>
          <w:bCs/>
          <w:color w:val="000000"/>
          <w:kern w:val="0"/>
          <w:sz w:val="28"/>
          <w:szCs w:val="28"/>
          <w:lang w:val="en-US" w:eastAsia="zh-CN" w:bidi="ar"/>
        </w:rPr>
        <w:br w:type="page"/>
      </w:r>
    </w:p>
    <w:p w14:paraId="17E56832">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1"/>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3.6  生产工艺</w:t>
      </w:r>
      <w:bookmarkEnd w:id="23"/>
    </w:p>
    <w:p w14:paraId="4F5943A6">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2"/>
        <w:rPr>
          <w:rFonts w:hint="eastAsia" w:ascii="宋体" w:hAnsi="宋体" w:eastAsia="宋体" w:cs="宋体"/>
          <w:b/>
          <w:bCs/>
          <w:color w:val="000000"/>
          <w:kern w:val="0"/>
          <w:sz w:val="24"/>
          <w:szCs w:val="24"/>
          <w:lang w:val="en-US" w:eastAsia="zh-CN" w:bidi="ar"/>
        </w:rPr>
      </w:pPr>
      <w:bookmarkStart w:id="24" w:name="_Toc7998"/>
      <w:r>
        <w:rPr>
          <w:rFonts w:hint="eastAsia" w:ascii="宋体" w:hAnsi="宋体" w:eastAsia="宋体" w:cs="宋体"/>
          <w:b/>
          <w:bCs/>
          <w:color w:val="000000"/>
          <w:kern w:val="0"/>
          <w:sz w:val="24"/>
          <w:szCs w:val="24"/>
          <w:lang w:val="en-US" w:eastAsia="zh-CN" w:bidi="ar"/>
        </w:rPr>
        <w:t>3.6.1  设计进出水质</w:t>
      </w:r>
      <w:bookmarkEnd w:id="24"/>
    </w:p>
    <w:p w14:paraId="43207EB9">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根据安徽省</w:t>
      </w:r>
      <w:r>
        <w:rPr>
          <w:rFonts w:hint="eastAsia" w:ascii="宋体" w:hAnsi="宋体" w:cs="宋体"/>
          <w:color w:val="000000"/>
          <w:kern w:val="0"/>
          <w:sz w:val="24"/>
          <w:szCs w:val="24"/>
          <w:lang w:val="en-US" w:eastAsia="zh-CN" w:bidi="ar"/>
        </w:rPr>
        <w:t>其他同类</w:t>
      </w:r>
      <w:r>
        <w:rPr>
          <w:rFonts w:hint="eastAsia" w:ascii="宋体" w:hAnsi="宋体" w:eastAsia="宋体" w:cs="宋体"/>
          <w:color w:val="000000"/>
          <w:kern w:val="0"/>
          <w:sz w:val="24"/>
          <w:szCs w:val="24"/>
          <w:lang w:val="en-US" w:eastAsia="zh-CN" w:bidi="ar"/>
        </w:rPr>
        <w:t>城市污水处理厂的设计进水水质，同时结合服务范围内主导产业的废水行业特征及现状企业排水情况，并考虑到经济开发区的发展，最终确定本工程的设计进水水质如下表所示。同时，对于</w:t>
      </w:r>
      <w:r>
        <w:rPr>
          <w:rFonts w:hint="eastAsia" w:ascii="宋体" w:hAnsi="宋体" w:cs="宋体"/>
          <w:color w:val="000000"/>
          <w:kern w:val="0"/>
          <w:sz w:val="24"/>
          <w:szCs w:val="24"/>
          <w:lang w:val="en-US" w:eastAsia="zh-CN" w:bidi="ar"/>
        </w:rPr>
        <w:t>污水处理厂</w:t>
      </w:r>
      <w:r>
        <w:rPr>
          <w:rFonts w:hint="eastAsia" w:ascii="宋体" w:hAnsi="宋体" w:eastAsia="宋体" w:cs="宋体"/>
          <w:color w:val="000000"/>
          <w:kern w:val="0"/>
          <w:sz w:val="24"/>
          <w:szCs w:val="24"/>
          <w:lang w:val="en-US" w:eastAsia="zh-CN" w:bidi="ar"/>
        </w:rPr>
        <w:t>服务范围内特定行业的废水排放，有行业排放标准的，优先执行相应的行业排放标准，达到相应行业排放标准的废水方可通过市政污水管网接入和县经开区污水处理厂处理。园区内项目排放废水特征污染物的项目，其废水需经预处理达标后，方可排入和县经开区污水处理厂。对于进水水质中</w:t>
      </w:r>
      <w:r>
        <w:rPr>
          <w:rFonts w:hint="eastAsia" w:ascii="宋体" w:hAnsi="宋体" w:cs="宋体"/>
          <w:color w:val="000000"/>
          <w:kern w:val="0"/>
          <w:sz w:val="24"/>
          <w:szCs w:val="24"/>
          <w:lang w:val="en-US" w:eastAsia="zh-CN" w:bidi="ar"/>
        </w:rPr>
        <w:t>未作</w:t>
      </w:r>
      <w:r>
        <w:rPr>
          <w:rFonts w:hint="eastAsia" w:ascii="宋体" w:hAnsi="宋体" w:eastAsia="宋体" w:cs="宋体"/>
          <w:color w:val="000000"/>
          <w:kern w:val="0"/>
          <w:sz w:val="24"/>
          <w:szCs w:val="24"/>
          <w:lang w:val="en-US" w:eastAsia="zh-CN" w:bidi="ar"/>
        </w:rPr>
        <w:t>规定的污染因子需满足相应的行业标准，并满足《污水综合排放标准》（</w:t>
      </w:r>
      <w:r>
        <w:rPr>
          <w:rFonts w:hint="default" w:ascii="宋体" w:hAnsi="宋体" w:eastAsia="宋体" w:cs="宋体"/>
          <w:color w:val="000000"/>
          <w:kern w:val="0"/>
          <w:sz w:val="24"/>
          <w:szCs w:val="24"/>
          <w:lang w:val="en-US" w:eastAsia="zh-CN" w:bidi="ar"/>
        </w:rPr>
        <w:t>GB8978-1996</w:t>
      </w:r>
      <w:r>
        <w:rPr>
          <w:rFonts w:hint="eastAsia" w:ascii="宋体" w:hAnsi="宋体" w:eastAsia="宋体" w:cs="宋体"/>
          <w:color w:val="000000"/>
          <w:kern w:val="0"/>
          <w:sz w:val="24"/>
          <w:szCs w:val="24"/>
          <w:lang w:val="en-US" w:eastAsia="zh-CN" w:bidi="ar"/>
        </w:rPr>
        <w:t>）中三级标准。</w:t>
      </w:r>
    </w:p>
    <w:p w14:paraId="78B9BAA7">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鉴于和县经济开发区污水处理厂尾水排放水体为双桥河，污水处理厂出水水质执行标准为《城镇污水处理厂污染物排放标准》（</w:t>
      </w:r>
      <w:r>
        <w:rPr>
          <w:rFonts w:hint="default" w:ascii="宋体" w:hAnsi="宋体" w:eastAsia="宋体" w:cs="宋体"/>
          <w:color w:val="000000"/>
          <w:kern w:val="0"/>
          <w:sz w:val="24"/>
          <w:szCs w:val="24"/>
          <w:lang w:val="en-US" w:eastAsia="zh-CN" w:bidi="ar"/>
        </w:rPr>
        <w:t>GB18918-2002</w:t>
      </w:r>
      <w:r>
        <w:rPr>
          <w:rFonts w:hint="eastAsia" w:ascii="宋体" w:hAnsi="宋体" w:eastAsia="宋体" w:cs="宋体"/>
          <w:color w:val="000000"/>
          <w:kern w:val="0"/>
          <w:sz w:val="24"/>
          <w:szCs w:val="24"/>
          <w:lang w:val="en-US" w:eastAsia="zh-CN" w:bidi="ar"/>
        </w:rPr>
        <w:t xml:space="preserve">）一级 </w:t>
      </w:r>
      <w:r>
        <w:rPr>
          <w:rFonts w:hint="default" w:ascii="宋体" w:hAnsi="宋体" w:eastAsia="宋体" w:cs="宋体"/>
          <w:color w:val="000000"/>
          <w:kern w:val="0"/>
          <w:sz w:val="24"/>
          <w:szCs w:val="24"/>
          <w:lang w:val="en-US" w:eastAsia="zh-CN" w:bidi="ar"/>
        </w:rPr>
        <w:t xml:space="preserve">A </w:t>
      </w:r>
      <w:r>
        <w:rPr>
          <w:rFonts w:hint="eastAsia" w:ascii="宋体" w:hAnsi="宋体" w:eastAsia="宋体" w:cs="宋体"/>
          <w:color w:val="000000"/>
          <w:kern w:val="0"/>
          <w:sz w:val="24"/>
          <w:szCs w:val="24"/>
          <w:lang w:val="en-US" w:eastAsia="zh-CN" w:bidi="ar"/>
        </w:rPr>
        <w:t>标准。项目具体设计进出水水质见表3.6-1。</w:t>
      </w:r>
    </w:p>
    <w:p w14:paraId="5811BD2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表3.6-1  和县经济开发区新建污水厂设计进水水质表（单位：mg/L）</w:t>
      </w:r>
    </w:p>
    <w:tbl>
      <w:tblPr>
        <w:tblStyle w:val="20"/>
        <w:tblW w:w="499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624"/>
        <w:gridCol w:w="818"/>
        <w:gridCol w:w="818"/>
        <w:gridCol w:w="818"/>
        <w:gridCol w:w="818"/>
        <w:gridCol w:w="818"/>
        <w:gridCol w:w="819"/>
        <w:gridCol w:w="979"/>
      </w:tblGrid>
      <w:tr w14:paraId="2CA5ED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41" w:type="pct"/>
            <w:tcBorders>
              <w:tl2br w:val="nil"/>
              <w:tr2bl w:val="nil"/>
            </w:tcBorders>
            <w:vAlign w:val="center"/>
          </w:tcPr>
          <w:p w14:paraId="7E300B7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指标</w:t>
            </w:r>
          </w:p>
        </w:tc>
        <w:tc>
          <w:tcPr>
            <w:tcW w:w="480" w:type="pct"/>
            <w:tcBorders>
              <w:tl2br w:val="nil"/>
              <w:tr2bl w:val="nil"/>
            </w:tcBorders>
            <w:vAlign w:val="center"/>
          </w:tcPr>
          <w:p w14:paraId="6377A7E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COD</w:t>
            </w:r>
          </w:p>
        </w:tc>
        <w:tc>
          <w:tcPr>
            <w:tcW w:w="480" w:type="pct"/>
            <w:tcBorders>
              <w:tl2br w:val="nil"/>
              <w:tr2bl w:val="nil"/>
            </w:tcBorders>
            <w:vAlign w:val="center"/>
          </w:tcPr>
          <w:p w14:paraId="7BFABE3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BOD</w:t>
            </w:r>
            <w:r>
              <w:rPr>
                <w:rFonts w:hint="eastAsia" w:ascii="宋体" w:hAnsi="宋体" w:eastAsia="宋体" w:cs="宋体"/>
                <w:b/>
                <w:bCs/>
                <w:color w:val="000000"/>
                <w:kern w:val="0"/>
                <w:sz w:val="21"/>
                <w:szCs w:val="21"/>
                <w:vertAlign w:val="subscript"/>
                <w:lang w:val="en-US" w:eastAsia="zh-CN" w:bidi="ar"/>
              </w:rPr>
              <w:t>5</w:t>
            </w:r>
          </w:p>
        </w:tc>
        <w:tc>
          <w:tcPr>
            <w:tcW w:w="480" w:type="pct"/>
            <w:tcBorders>
              <w:tl2br w:val="nil"/>
              <w:tr2bl w:val="nil"/>
            </w:tcBorders>
            <w:vAlign w:val="center"/>
          </w:tcPr>
          <w:p w14:paraId="50DDDE6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SS</w:t>
            </w:r>
          </w:p>
        </w:tc>
        <w:tc>
          <w:tcPr>
            <w:tcW w:w="480" w:type="pct"/>
            <w:tcBorders>
              <w:tl2br w:val="nil"/>
              <w:tr2bl w:val="nil"/>
            </w:tcBorders>
            <w:vAlign w:val="center"/>
          </w:tcPr>
          <w:p w14:paraId="52FC103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TN</w:t>
            </w:r>
          </w:p>
        </w:tc>
        <w:tc>
          <w:tcPr>
            <w:tcW w:w="480" w:type="pct"/>
            <w:tcBorders>
              <w:tl2br w:val="nil"/>
              <w:tr2bl w:val="nil"/>
            </w:tcBorders>
            <w:shd w:val="clear" w:color="auto" w:fill="auto"/>
            <w:vAlign w:val="center"/>
          </w:tcPr>
          <w:p w14:paraId="21944E1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氨氮</w:t>
            </w:r>
          </w:p>
        </w:tc>
        <w:tc>
          <w:tcPr>
            <w:tcW w:w="481" w:type="pct"/>
            <w:tcBorders>
              <w:tl2br w:val="nil"/>
              <w:tr2bl w:val="nil"/>
            </w:tcBorders>
            <w:shd w:val="clear" w:color="auto" w:fill="auto"/>
            <w:vAlign w:val="center"/>
          </w:tcPr>
          <w:p w14:paraId="1AA47C6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TP</w:t>
            </w:r>
          </w:p>
        </w:tc>
        <w:tc>
          <w:tcPr>
            <w:tcW w:w="575" w:type="pct"/>
            <w:tcBorders>
              <w:tl2br w:val="nil"/>
              <w:tr2bl w:val="nil"/>
            </w:tcBorders>
            <w:shd w:val="clear" w:color="auto" w:fill="auto"/>
            <w:vAlign w:val="center"/>
          </w:tcPr>
          <w:p w14:paraId="1AEA47D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b/>
                <w:bCs/>
                <w:color w:val="000000"/>
                <w:kern w:val="0"/>
                <w:sz w:val="21"/>
                <w:szCs w:val="21"/>
                <w:vertAlign w:val="baseline"/>
                <w:lang w:val="en-US" w:eastAsia="zh-CN" w:bidi="ar"/>
              </w:rPr>
            </w:pPr>
            <w:r>
              <w:rPr>
                <w:rFonts w:hint="eastAsia" w:ascii="宋体" w:hAnsi="宋体" w:cs="宋体"/>
                <w:b/>
                <w:bCs/>
                <w:color w:val="000000"/>
                <w:kern w:val="0"/>
                <w:sz w:val="21"/>
                <w:szCs w:val="21"/>
                <w:vertAlign w:val="baseline"/>
                <w:lang w:val="en-US" w:eastAsia="zh-CN" w:bidi="ar"/>
              </w:rPr>
              <w:t>氟化物</w:t>
            </w:r>
          </w:p>
        </w:tc>
      </w:tr>
      <w:tr w14:paraId="32F5A7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41" w:type="pct"/>
            <w:tcBorders>
              <w:tl2br w:val="nil"/>
              <w:tr2bl w:val="nil"/>
            </w:tcBorders>
            <w:vAlign w:val="center"/>
          </w:tcPr>
          <w:p w14:paraId="6F5369C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设计进水水质</w:t>
            </w:r>
          </w:p>
        </w:tc>
        <w:tc>
          <w:tcPr>
            <w:tcW w:w="480" w:type="pct"/>
            <w:tcBorders>
              <w:tl2br w:val="nil"/>
              <w:tr2bl w:val="nil"/>
            </w:tcBorders>
            <w:vAlign w:val="center"/>
          </w:tcPr>
          <w:p w14:paraId="52E12AF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400</w:t>
            </w:r>
          </w:p>
        </w:tc>
        <w:tc>
          <w:tcPr>
            <w:tcW w:w="480" w:type="pct"/>
            <w:tcBorders>
              <w:tl2br w:val="nil"/>
              <w:tr2bl w:val="nil"/>
            </w:tcBorders>
            <w:vAlign w:val="center"/>
          </w:tcPr>
          <w:p w14:paraId="56392C2D">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180</w:t>
            </w:r>
          </w:p>
        </w:tc>
        <w:tc>
          <w:tcPr>
            <w:tcW w:w="480" w:type="pct"/>
            <w:tcBorders>
              <w:tl2br w:val="nil"/>
              <w:tr2bl w:val="nil"/>
            </w:tcBorders>
            <w:vAlign w:val="center"/>
          </w:tcPr>
          <w:p w14:paraId="4889638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250</w:t>
            </w:r>
          </w:p>
        </w:tc>
        <w:tc>
          <w:tcPr>
            <w:tcW w:w="480" w:type="pct"/>
            <w:tcBorders>
              <w:tl2br w:val="nil"/>
              <w:tr2bl w:val="nil"/>
            </w:tcBorders>
            <w:vAlign w:val="center"/>
          </w:tcPr>
          <w:p w14:paraId="42911A4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40</w:t>
            </w:r>
          </w:p>
        </w:tc>
        <w:tc>
          <w:tcPr>
            <w:tcW w:w="480" w:type="pct"/>
            <w:tcBorders>
              <w:tl2br w:val="nil"/>
              <w:tr2bl w:val="nil"/>
            </w:tcBorders>
            <w:vAlign w:val="center"/>
          </w:tcPr>
          <w:p w14:paraId="590E539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30</w:t>
            </w:r>
          </w:p>
        </w:tc>
        <w:tc>
          <w:tcPr>
            <w:tcW w:w="481" w:type="pct"/>
            <w:tcBorders>
              <w:tl2br w:val="nil"/>
              <w:tr2bl w:val="nil"/>
            </w:tcBorders>
            <w:vAlign w:val="center"/>
          </w:tcPr>
          <w:p w14:paraId="3018713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4</w:t>
            </w:r>
          </w:p>
        </w:tc>
        <w:tc>
          <w:tcPr>
            <w:tcW w:w="575" w:type="pct"/>
            <w:tcBorders>
              <w:tl2br w:val="nil"/>
              <w:tr2bl w:val="nil"/>
            </w:tcBorders>
            <w:vAlign w:val="center"/>
          </w:tcPr>
          <w:p w14:paraId="2BA8B31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kern w:val="0"/>
                <w:sz w:val="21"/>
                <w:szCs w:val="21"/>
                <w:vertAlign w:val="baseline"/>
                <w:lang w:val="en-US" w:eastAsia="zh-CN" w:bidi="ar"/>
              </w:rPr>
            </w:pPr>
            <w:r>
              <w:rPr>
                <w:rFonts w:hint="eastAsia" w:ascii="宋体" w:hAnsi="宋体" w:cs="宋体"/>
                <w:color w:val="000000"/>
                <w:kern w:val="0"/>
                <w:sz w:val="21"/>
                <w:szCs w:val="21"/>
                <w:vertAlign w:val="baseline"/>
                <w:lang w:val="en-US" w:eastAsia="zh-CN" w:bidi="ar"/>
              </w:rPr>
              <w:t>20</w:t>
            </w:r>
          </w:p>
        </w:tc>
      </w:tr>
      <w:tr w14:paraId="5840BF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41" w:type="pct"/>
            <w:tcBorders>
              <w:tl2br w:val="nil"/>
              <w:tr2bl w:val="nil"/>
            </w:tcBorders>
            <w:vAlign w:val="center"/>
          </w:tcPr>
          <w:p w14:paraId="4307494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设计出水水质限值</w:t>
            </w:r>
          </w:p>
        </w:tc>
        <w:tc>
          <w:tcPr>
            <w:tcW w:w="480" w:type="pct"/>
            <w:tcBorders>
              <w:tl2br w:val="nil"/>
              <w:tr2bl w:val="nil"/>
            </w:tcBorders>
            <w:vAlign w:val="center"/>
          </w:tcPr>
          <w:p w14:paraId="361A6D9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50</w:t>
            </w:r>
          </w:p>
        </w:tc>
        <w:tc>
          <w:tcPr>
            <w:tcW w:w="480" w:type="pct"/>
            <w:tcBorders>
              <w:tl2br w:val="nil"/>
              <w:tr2bl w:val="nil"/>
            </w:tcBorders>
            <w:vAlign w:val="center"/>
          </w:tcPr>
          <w:p w14:paraId="0793B6D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10</w:t>
            </w:r>
          </w:p>
        </w:tc>
        <w:tc>
          <w:tcPr>
            <w:tcW w:w="480" w:type="pct"/>
            <w:tcBorders>
              <w:tl2br w:val="nil"/>
              <w:tr2bl w:val="nil"/>
            </w:tcBorders>
            <w:vAlign w:val="center"/>
          </w:tcPr>
          <w:p w14:paraId="393AD21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10</w:t>
            </w:r>
          </w:p>
        </w:tc>
        <w:tc>
          <w:tcPr>
            <w:tcW w:w="480" w:type="pct"/>
            <w:tcBorders>
              <w:tl2br w:val="nil"/>
              <w:tr2bl w:val="nil"/>
            </w:tcBorders>
            <w:vAlign w:val="center"/>
          </w:tcPr>
          <w:p w14:paraId="06AA59F8">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15</w:t>
            </w:r>
          </w:p>
        </w:tc>
        <w:tc>
          <w:tcPr>
            <w:tcW w:w="480" w:type="pct"/>
            <w:tcBorders>
              <w:tl2br w:val="nil"/>
              <w:tr2bl w:val="nil"/>
            </w:tcBorders>
            <w:vAlign w:val="center"/>
          </w:tcPr>
          <w:p w14:paraId="010587F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5</w:t>
            </w:r>
          </w:p>
        </w:tc>
        <w:tc>
          <w:tcPr>
            <w:tcW w:w="481" w:type="pct"/>
            <w:tcBorders>
              <w:tl2br w:val="nil"/>
              <w:tr2bl w:val="nil"/>
            </w:tcBorders>
            <w:vAlign w:val="center"/>
          </w:tcPr>
          <w:p w14:paraId="1BC2670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0.5</w:t>
            </w:r>
          </w:p>
        </w:tc>
        <w:tc>
          <w:tcPr>
            <w:tcW w:w="575" w:type="pct"/>
            <w:tcBorders>
              <w:tl2br w:val="nil"/>
              <w:tr2bl w:val="nil"/>
            </w:tcBorders>
            <w:vAlign w:val="center"/>
          </w:tcPr>
          <w:p w14:paraId="2CB4362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kern w:val="0"/>
                <w:sz w:val="21"/>
                <w:szCs w:val="21"/>
                <w:vertAlign w:val="baseline"/>
                <w:lang w:val="en-US" w:eastAsia="zh-CN" w:bidi="ar"/>
              </w:rPr>
            </w:pPr>
            <w:r>
              <w:rPr>
                <w:rFonts w:hint="eastAsia" w:ascii="宋体" w:hAnsi="宋体" w:cs="宋体"/>
                <w:color w:val="000000"/>
                <w:kern w:val="0"/>
                <w:sz w:val="21"/>
                <w:szCs w:val="21"/>
                <w:vertAlign w:val="baseline"/>
                <w:lang w:val="en-US" w:eastAsia="zh-CN" w:bidi="ar"/>
              </w:rPr>
              <w:t>1</w:t>
            </w:r>
          </w:p>
        </w:tc>
      </w:tr>
    </w:tbl>
    <w:p w14:paraId="0A732A32">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注：</w:t>
      </w:r>
      <w:r>
        <w:rPr>
          <w:rFonts w:hint="default"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、对于</w:t>
      </w:r>
      <w:r>
        <w:rPr>
          <w:rFonts w:hint="eastAsia" w:ascii="宋体" w:hAnsi="宋体" w:cs="宋体"/>
          <w:color w:val="000000"/>
          <w:kern w:val="0"/>
          <w:sz w:val="24"/>
          <w:szCs w:val="24"/>
          <w:lang w:val="en-US" w:eastAsia="zh-CN" w:bidi="ar"/>
        </w:rPr>
        <w:t>污水处理厂</w:t>
      </w:r>
      <w:r>
        <w:rPr>
          <w:rFonts w:hint="eastAsia" w:ascii="宋体" w:hAnsi="宋体" w:eastAsia="宋体" w:cs="宋体"/>
          <w:color w:val="000000"/>
          <w:kern w:val="0"/>
          <w:sz w:val="24"/>
          <w:szCs w:val="24"/>
          <w:lang w:val="en-US" w:eastAsia="zh-CN" w:bidi="ar"/>
        </w:rPr>
        <w:t>服务范围内特定行业的废水排放，有行业排放标准的，优先执行相应的行业排放标准，达到相应行业排放标准的废水方可通过市政污水管网接入和县经开区污水处理厂处理。</w:t>
      </w:r>
    </w:p>
    <w:p w14:paraId="1AD34852">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、园区内项目排放废水特征污染物的项目，其废水需经预处理达标后，方可排入和县经开区污水处理厂。对于进水水质中</w:t>
      </w:r>
      <w:r>
        <w:rPr>
          <w:rFonts w:hint="eastAsia" w:ascii="宋体" w:hAnsi="宋体" w:cs="宋体"/>
          <w:color w:val="000000"/>
          <w:kern w:val="0"/>
          <w:sz w:val="24"/>
          <w:szCs w:val="24"/>
          <w:lang w:val="en-US" w:eastAsia="zh-CN" w:bidi="ar"/>
        </w:rPr>
        <w:t>未作</w:t>
      </w:r>
      <w:r>
        <w:rPr>
          <w:rFonts w:hint="eastAsia" w:ascii="宋体" w:hAnsi="宋体" w:eastAsia="宋体" w:cs="宋体"/>
          <w:color w:val="000000"/>
          <w:kern w:val="0"/>
          <w:sz w:val="24"/>
          <w:szCs w:val="24"/>
          <w:lang w:val="en-US" w:eastAsia="zh-CN" w:bidi="ar"/>
        </w:rPr>
        <w:t>规定的污染因子需满足相应的行业标准，并满足《污水综合排放标准》（</w:t>
      </w:r>
      <w:r>
        <w:rPr>
          <w:rFonts w:hint="default" w:ascii="宋体" w:hAnsi="宋体" w:eastAsia="宋体" w:cs="宋体"/>
          <w:color w:val="000000"/>
          <w:kern w:val="0"/>
          <w:sz w:val="24"/>
          <w:szCs w:val="24"/>
          <w:lang w:val="en-US" w:eastAsia="zh-CN" w:bidi="ar"/>
        </w:rPr>
        <w:t>GB8978-1996</w:t>
      </w:r>
      <w:r>
        <w:rPr>
          <w:rFonts w:hint="eastAsia" w:ascii="宋体" w:hAnsi="宋体" w:eastAsia="宋体" w:cs="宋体"/>
          <w:color w:val="000000"/>
          <w:kern w:val="0"/>
          <w:sz w:val="24"/>
          <w:szCs w:val="24"/>
          <w:lang w:val="en-US" w:eastAsia="zh-CN" w:bidi="ar"/>
        </w:rPr>
        <w:t>）中三级标准。</w:t>
      </w:r>
    </w:p>
    <w:p w14:paraId="4AC5A781">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2"/>
        <w:rPr>
          <w:rFonts w:hint="eastAsia" w:ascii="宋体" w:hAnsi="宋体" w:eastAsia="宋体" w:cs="宋体"/>
          <w:b/>
          <w:bCs/>
          <w:color w:val="000000"/>
          <w:kern w:val="0"/>
          <w:sz w:val="24"/>
          <w:szCs w:val="24"/>
          <w:lang w:val="en-US" w:eastAsia="zh-CN" w:bidi="ar"/>
        </w:rPr>
      </w:pPr>
      <w:bookmarkStart w:id="25" w:name="_Toc10602"/>
      <w:r>
        <w:rPr>
          <w:rFonts w:hint="eastAsia" w:ascii="宋体" w:hAnsi="宋体" w:eastAsia="宋体" w:cs="宋体"/>
          <w:b/>
          <w:bCs/>
          <w:color w:val="000000"/>
          <w:kern w:val="0"/>
          <w:sz w:val="24"/>
          <w:szCs w:val="24"/>
          <w:lang w:val="en-US" w:eastAsia="zh-CN" w:bidi="ar"/>
        </w:rPr>
        <w:t>3.6.2 各构筑物处理效率</w:t>
      </w:r>
      <w:bookmarkEnd w:id="25"/>
    </w:p>
    <w:p w14:paraId="19373459">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根据本次工程的进水水质和出水水质，本工程污染物处理效率见表3.6-2。</w:t>
      </w:r>
    </w:p>
    <w:p w14:paraId="783D5C7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表3.6-2  工程污染物去除率要求</w:t>
      </w:r>
    </w:p>
    <w:tbl>
      <w:tblPr>
        <w:tblStyle w:val="2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88"/>
        <w:gridCol w:w="2661"/>
        <w:gridCol w:w="2395"/>
        <w:gridCol w:w="1275"/>
      </w:tblGrid>
      <w:tr w14:paraId="03CFFC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84" w:type="pct"/>
            <w:tcBorders>
              <w:tl2br w:val="nil"/>
              <w:tr2bl w:val="nil"/>
            </w:tcBorders>
            <w:vAlign w:val="center"/>
          </w:tcPr>
          <w:p w14:paraId="2DD4A4B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指标</w:t>
            </w:r>
          </w:p>
        </w:tc>
        <w:tc>
          <w:tcPr>
            <w:tcW w:w="1561" w:type="pct"/>
            <w:tcBorders>
              <w:tl2br w:val="nil"/>
              <w:tr2bl w:val="nil"/>
            </w:tcBorders>
            <w:vAlign w:val="center"/>
          </w:tcPr>
          <w:p w14:paraId="6897362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设计进水水质</w:t>
            </w:r>
          </w:p>
        </w:tc>
        <w:tc>
          <w:tcPr>
            <w:tcW w:w="1405" w:type="pct"/>
            <w:tcBorders>
              <w:tl2br w:val="nil"/>
              <w:tr2bl w:val="nil"/>
            </w:tcBorders>
            <w:vAlign w:val="center"/>
          </w:tcPr>
          <w:p w14:paraId="097B7BE4">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设计出水水质限值</w:t>
            </w:r>
          </w:p>
        </w:tc>
        <w:tc>
          <w:tcPr>
            <w:tcW w:w="748" w:type="pct"/>
            <w:tcBorders>
              <w:tl2br w:val="nil"/>
              <w:tr2bl w:val="nil"/>
            </w:tcBorders>
            <w:vAlign w:val="center"/>
          </w:tcPr>
          <w:p w14:paraId="4A8C0A9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去除率（%）</w:t>
            </w:r>
          </w:p>
        </w:tc>
      </w:tr>
      <w:tr w14:paraId="67DBBA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84" w:type="pct"/>
            <w:tcBorders>
              <w:tl2br w:val="nil"/>
              <w:tr2bl w:val="nil"/>
            </w:tcBorders>
            <w:vAlign w:val="center"/>
          </w:tcPr>
          <w:p w14:paraId="39A197F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COD</w:t>
            </w:r>
          </w:p>
        </w:tc>
        <w:tc>
          <w:tcPr>
            <w:tcW w:w="1561" w:type="pct"/>
            <w:tcBorders>
              <w:tl2br w:val="nil"/>
              <w:tr2bl w:val="nil"/>
            </w:tcBorders>
            <w:vAlign w:val="center"/>
          </w:tcPr>
          <w:p w14:paraId="47DDFFA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400</w:t>
            </w:r>
          </w:p>
        </w:tc>
        <w:tc>
          <w:tcPr>
            <w:tcW w:w="1405" w:type="pct"/>
            <w:tcBorders>
              <w:tl2br w:val="nil"/>
              <w:tr2bl w:val="nil"/>
            </w:tcBorders>
            <w:vAlign w:val="center"/>
          </w:tcPr>
          <w:p w14:paraId="519434FD">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50</w:t>
            </w:r>
          </w:p>
        </w:tc>
        <w:tc>
          <w:tcPr>
            <w:tcW w:w="748" w:type="pct"/>
            <w:tcBorders>
              <w:tl2br w:val="nil"/>
              <w:tr2bl w:val="nil"/>
            </w:tcBorders>
            <w:vAlign w:val="center"/>
          </w:tcPr>
          <w:p w14:paraId="10B6A04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≥87</w:t>
            </w:r>
          </w:p>
        </w:tc>
      </w:tr>
      <w:tr w14:paraId="510ACB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84" w:type="pct"/>
            <w:tcBorders>
              <w:tl2br w:val="nil"/>
              <w:tr2bl w:val="nil"/>
            </w:tcBorders>
            <w:vAlign w:val="center"/>
          </w:tcPr>
          <w:p w14:paraId="0567850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BOD</w:t>
            </w:r>
            <w:r>
              <w:rPr>
                <w:rFonts w:hint="eastAsia" w:ascii="宋体" w:hAnsi="宋体" w:eastAsia="宋体" w:cs="宋体"/>
                <w:color w:val="000000"/>
                <w:kern w:val="0"/>
                <w:sz w:val="21"/>
                <w:szCs w:val="21"/>
                <w:vertAlign w:val="subscript"/>
                <w:lang w:val="en-US" w:eastAsia="zh-CN" w:bidi="ar"/>
              </w:rPr>
              <w:t>5</w:t>
            </w:r>
          </w:p>
        </w:tc>
        <w:tc>
          <w:tcPr>
            <w:tcW w:w="1561" w:type="pct"/>
            <w:tcBorders>
              <w:tl2br w:val="nil"/>
              <w:tr2bl w:val="nil"/>
            </w:tcBorders>
            <w:vAlign w:val="center"/>
          </w:tcPr>
          <w:p w14:paraId="542ADE6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180</w:t>
            </w:r>
          </w:p>
        </w:tc>
        <w:tc>
          <w:tcPr>
            <w:tcW w:w="1405" w:type="pct"/>
            <w:tcBorders>
              <w:tl2br w:val="nil"/>
              <w:tr2bl w:val="nil"/>
            </w:tcBorders>
            <w:vAlign w:val="center"/>
          </w:tcPr>
          <w:p w14:paraId="632DC5F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10</w:t>
            </w:r>
          </w:p>
        </w:tc>
        <w:tc>
          <w:tcPr>
            <w:tcW w:w="748" w:type="pct"/>
            <w:tcBorders>
              <w:tl2br w:val="nil"/>
              <w:tr2bl w:val="nil"/>
            </w:tcBorders>
            <w:vAlign w:val="center"/>
          </w:tcPr>
          <w:p w14:paraId="4C4AF29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≥94</w:t>
            </w:r>
          </w:p>
        </w:tc>
      </w:tr>
      <w:tr w14:paraId="4C56FB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84" w:type="pct"/>
            <w:tcBorders>
              <w:tl2br w:val="nil"/>
              <w:tr2bl w:val="nil"/>
            </w:tcBorders>
            <w:vAlign w:val="center"/>
          </w:tcPr>
          <w:p w14:paraId="6704324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SS</w:t>
            </w:r>
          </w:p>
        </w:tc>
        <w:tc>
          <w:tcPr>
            <w:tcW w:w="1561" w:type="pct"/>
            <w:tcBorders>
              <w:tl2br w:val="nil"/>
              <w:tr2bl w:val="nil"/>
            </w:tcBorders>
            <w:vAlign w:val="center"/>
          </w:tcPr>
          <w:p w14:paraId="3F730AC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250</w:t>
            </w:r>
          </w:p>
        </w:tc>
        <w:tc>
          <w:tcPr>
            <w:tcW w:w="1405" w:type="pct"/>
            <w:tcBorders>
              <w:tl2br w:val="nil"/>
              <w:tr2bl w:val="nil"/>
            </w:tcBorders>
            <w:vAlign w:val="center"/>
          </w:tcPr>
          <w:p w14:paraId="78A31D7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10</w:t>
            </w:r>
          </w:p>
        </w:tc>
        <w:tc>
          <w:tcPr>
            <w:tcW w:w="748" w:type="pct"/>
            <w:tcBorders>
              <w:tl2br w:val="nil"/>
              <w:tr2bl w:val="nil"/>
            </w:tcBorders>
            <w:vAlign w:val="center"/>
          </w:tcPr>
          <w:p w14:paraId="2043BD97">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≥96</w:t>
            </w:r>
          </w:p>
        </w:tc>
      </w:tr>
      <w:tr w14:paraId="65C4C1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84" w:type="pct"/>
            <w:tcBorders>
              <w:tl2br w:val="nil"/>
              <w:tr2bl w:val="nil"/>
            </w:tcBorders>
            <w:vAlign w:val="center"/>
          </w:tcPr>
          <w:p w14:paraId="4FCB5DA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氨氮</w:t>
            </w:r>
          </w:p>
        </w:tc>
        <w:tc>
          <w:tcPr>
            <w:tcW w:w="1561" w:type="pct"/>
            <w:tcBorders>
              <w:tl2br w:val="nil"/>
              <w:tr2bl w:val="nil"/>
            </w:tcBorders>
            <w:vAlign w:val="center"/>
          </w:tcPr>
          <w:p w14:paraId="3A613C26">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40</w:t>
            </w:r>
          </w:p>
        </w:tc>
        <w:tc>
          <w:tcPr>
            <w:tcW w:w="1405" w:type="pct"/>
            <w:tcBorders>
              <w:tl2br w:val="nil"/>
              <w:tr2bl w:val="nil"/>
            </w:tcBorders>
            <w:vAlign w:val="center"/>
          </w:tcPr>
          <w:p w14:paraId="1340D47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15</w:t>
            </w:r>
          </w:p>
        </w:tc>
        <w:tc>
          <w:tcPr>
            <w:tcW w:w="748" w:type="pct"/>
            <w:tcBorders>
              <w:tl2br w:val="nil"/>
              <w:tr2bl w:val="nil"/>
            </w:tcBorders>
            <w:vAlign w:val="center"/>
          </w:tcPr>
          <w:p w14:paraId="1B20F73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≥83</w:t>
            </w:r>
          </w:p>
        </w:tc>
      </w:tr>
      <w:tr w14:paraId="0F68D6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1284" w:type="pct"/>
            <w:tcBorders>
              <w:tl2br w:val="nil"/>
              <w:tr2bl w:val="nil"/>
            </w:tcBorders>
            <w:vAlign w:val="center"/>
          </w:tcPr>
          <w:p w14:paraId="675211B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TN</w:t>
            </w:r>
          </w:p>
        </w:tc>
        <w:tc>
          <w:tcPr>
            <w:tcW w:w="1561" w:type="pct"/>
            <w:tcBorders>
              <w:tl2br w:val="nil"/>
              <w:tr2bl w:val="nil"/>
            </w:tcBorders>
            <w:vAlign w:val="center"/>
          </w:tcPr>
          <w:p w14:paraId="42C0192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30</w:t>
            </w:r>
          </w:p>
        </w:tc>
        <w:tc>
          <w:tcPr>
            <w:tcW w:w="1405" w:type="pct"/>
            <w:tcBorders>
              <w:tl2br w:val="nil"/>
              <w:tr2bl w:val="nil"/>
            </w:tcBorders>
            <w:vAlign w:val="center"/>
          </w:tcPr>
          <w:p w14:paraId="0C1E7B9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5</w:t>
            </w:r>
          </w:p>
        </w:tc>
        <w:tc>
          <w:tcPr>
            <w:tcW w:w="748" w:type="pct"/>
            <w:tcBorders>
              <w:tl2br w:val="nil"/>
              <w:tr2bl w:val="nil"/>
            </w:tcBorders>
            <w:vAlign w:val="center"/>
          </w:tcPr>
          <w:p w14:paraId="3854BCF6">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w:t>
            </w:r>
            <w:r>
              <w:rPr>
                <w:rFonts w:hint="eastAsia" w:ascii="宋体" w:hAnsi="宋体" w:cs="宋体"/>
                <w:color w:val="000000"/>
                <w:kern w:val="0"/>
                <w:sz w:val="21"/>
                <w:szCs w:val="21"/>
                <w:vertAlign w:val="baseline"/>
                <w:lang w:val="en-US" w:eastAsia="zh-CN" w:bidi="ar"/>
              </w:rPr>
              <w:t>9</w:t>
            </w:r>
            <w:r>
              <w:rPr>
                <w:rFonts w:hint="eastAsia" w:ascii="宋体" w:hAnsi="宋体" w:eastAsia="宋体" w:cs="宋体"/>
                <w:color w:val="000000"/>
                <w:kern w:val="0"/>
                <w:sz w:val="21"/>
                <w:szCs w:val="21"/>
                <w:vertAlign w:val="baseline"/>
                <w:lang w:val="en-US" w:eastAsia="zh-CN" w:bidi="ar"/>
              </w:rPr>
              <w:t>2</w:t>
            </w:r>
          </w:p>
        </w:tc>
      </w:tr>
      <w:tr w14:paraId="7F7007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84" w:type="pct"/>
            <w:tcBorders>
              <w:tl2br w:val="nil"/>
              <w:tr2bl w:val="nil"/>
            </w:tcBorders>
            <w:vAlign w:val="center"/>
          </w:tcPr>
          <w:p w14:paraId="401E2C6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TP</w:t>
            </w:r>
          </w:p>
        </w:tc>
        <w:tc>
          <w:tcPr>
            <w:tcW w:w="1561" w:type="pct"/>
            <w:tcBorders>
              <w:tl2br w:val="nil"/>
              <w:tr2bl w:val="nil"/>
            </w:tcBorders>
            <w:vAlign w:val="center"/>
          </w:tcPr>
          <w:p w14:paraId="406F84B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4</w:t>
            </w:r>
          </w:p>
        </w:tc>
        <w:tc>
          <w:tcPr>
            <w:tcW w:w="1405" w:type="pct"/>
            <w:tcBorders>
              <w:tl2br w:val="nil"/>
              <w:tr2bl w:val="nil"/>
            </w:tcBorders>
            <w:vAlign w:val="center"/>
          </w:tcPr>
          <w:p w14:paraId="55DC54D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0.5</w:t>
            </w:r>
          </w:p>
        </w:tc>
        <w:tc>
          <w:tcPr>
            <w:tcW w:w="748" w:type="pct"/>
            <w:tcBorders>
              <w:tl2br w:val="nil"/>
              <w:tr2bl w:val="nil"/>
            </w:tcBorders>
            <w:vAlign w:val="center"/>
          </w:tcPr>
          <w:p w14:paraId="55B384E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≥87</w:t>
            </w:r>
          </w:p>
        </w:tc>
      </w:tr>
      <w:tr w14:paraId="15C4CC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84" w:type="pct"/>
            <w:tcBorders>
              <w:tl2br w:val="nil"/>
              <w:tr2bl w:val="nil"/>
            </w:tcBorders>
            <w:vAlign w:val="center"/>
          </w:tcPr>
          <w:p w14:paraId="53AD5C54">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kern w:val="0"/>
                <w:sz w:val="21"/>
                <w:szCs w:val="21"/>
                <w:vertAlign w:val="baseline"/>
                <w:lang w:val="en-US" w:eastAsia="zh-CN" w:bidi="ar"/>
              </w:rPr>
            </w:pPr>
            <w:bookmarkStart w:id="26" w:name="_Toc5406"/>
            <w:r>
              <w:rPr>
                <w:rFonts w:hint="eastAsia" w:ascii="宋体" w:hAnsi="宋体" w:cs="宋体"/>
                <w:color w:val="000000"/>
                <w:kern w:val="0"/>
                <w:sz w:val="21"/>
                <w:szCs w:val="21"/>
                <w:vertAlign w:val="baseline"/>
                <w:lang w:val="en-US" w:eastAsia="zh-CN" w:bidi="ar"/>
              </w:rPr>
              <w:t>氟化物</w:t>
            </w:r>
          </w:p>
        </w:tc>
        <w:tc>
          <w:tcPr>
            <w:tcW w:w="1561" w:type="pct"/>
            <w:tcBorders>
              <w:tl2br w:val="nil"/>
              <w:tr2bl w:val="nil"/>
            </w:tcBorders>
            <w:vAlign w:val="center"/>
          </w:tcPr>
          <w:p w14:paraId="47C7B59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kern w:val="0"/>
                <w:sz w:val="21"/>
                <w:szCs w:val="21"/>
                <w:vertAlign w:val="baseline"/>
                <w:lang w:val="en-US" w:eastAsia="zh-CN" w:bidi="ar"/>
              </w:rPr>
            </w:pPr>
            <w:r>
              <w:rPr>
                <w:rFonts w:hint="eastAsia" w:ascii="宋体" w:hAnsi="宋体" w:cs="宋体"/>
                <w:color w:val="000000"/>
                <w:kern w:val="0"/>
                <w:sz w:val="21"/>
                <w:szCs w:val="21"/>
                <w:vertAlign w:val="baseline"/>
                <w:lang w:val="en-US" w:eastAsia="zh-CN" w:bidi="ar"/>
              </w:rPr>
              <w:t>20</w:t>
            </w:r>
          </w:p>
        </w:tc>
        <w:tc>
          <w:tcPr>
            <w:tcW w:w="1405" w:type="pct"/>
            <w:tcBorders>
              <w:tl2br w:val="nil"/>
              <w:tr2bl w:val="nil"/>
            </w:tcBorders>
            <w:vAlign w:val="center"/>
          </w:tcPr>
          <w:p w14:paraId="2FEEA2B7">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kern w:val="0"/>
                <w:sz w:val="21"/>
                <w:szCs w:val="21"/>
                <w:vertAlign w:val="baseline"/>
                <w:lang w:val="en-US" w:eastAsia="zh-CN" w:bidi="ar"/>
              </w:rPr>
            </w:pPr>
            <w:r>
              <w:rPr>
                <w:rFonts w:hint="eastAsia" w:ascii="宋体" w:hAnsi="宋体" w:cs="宋体"/>
                <w:color w:val="000000"/>
                <w:kern w:val="0"/>
                <w:sz w:val="21"/>
                <w:szCs w:val="21"/>
                <w:vertAlign w:val="baseline"/>
                <w:lang w:val="en-US" w:eastAsia="zh-CN" w:bidi="ar"/>
              </w:rPr>
              <w:t>1</w:t>
            </w:r>
          </w:p>
        </w:tc>
        <w:tc>
          <w:tcPr>
            <w:tcW w:w="748" w:type="pct"/>
            <w:tcBorders>
              <w:tl2br w:val="nil"/>
              <w:tr2bl w:val="nil"/>
            </w:tcBorders>
            <w:vAlign w:val="center"/>
          </w:tcPr>
          <w:p w14:paraId="6EB6E5A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≥95</w:t>
            </w:r>
          </w:p>
        </w:tc>
      </w:tr>
    </w:tbl>
    <w:p w14:paraId="6AADA257">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2"/>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3.6.3 处理工艺</w:t>
      </w:r>
      <w:bookmarkEnd w:id="26"/>
    </w:p>
    <w:p w14:paraId="10DCA38C">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本项目营运期具体生产工艺流程及产</w:t>
      </w:r>
      <w:r>
        <w:rPr>
          <w:rFonts w:hint="eastAsia" w:ascii="宋体" w:hAnsi="宋体" w:cs="宋体"/>
          <w:color w:val="000000"/>
          <w:kern w:val="0"/>
          <w:sz w:val="24"/>
          <w:szCs w:val="24"/>
          <w:lang w:val="en-US" w:eastAsia="zh-CN" w:bidi="ar"/>
        </w:rPr>
        <w:t>污环</w:t>
      </w:r>
      <w:r>
        <w:rPr>
          <w:rFonts w:hint="eastAsia" w:ascii="宋体" w:hAnsi="宋体" w:eastAsia="宋体" w:cs="宋体"/>
          <w:color w:val="000000"/>
          <w:kern w:val="0"/>
          <w:sz w:val="24"/>
          <w:szCs w:val="24"/>
          <w:lang w:val="en-US" w:eastAsia="zh-CN" w:bidi="ar"/>
        </w:rPr>
        <w:t>节见图3.6-1。</w:t>
      </w:r>
    </w:p>
    <w:p w14:paraId="5DFE5A52">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auto"/>
        <w:rPr>
          <w:rFonts w:hint="eastAsia" w:ascii="宋体" w:hAnsi="宋体" w:eastAsia="宋体" w:cs="宋体"/>
          <w:color w:val="000000"/>
          <w:kern w:val="0"/>
          <w:sz w:val="24"/>
          <w:szCs w:val="24"/>
          <w:lang w:val="en-US" w:eastAsia="zh-CN" w:bidi="ar"/>
        </w:rPr>
        <w:sectPr>
          <w:pgSz w:w="11906" w:h="16838"/>
          <w:pgMar w:top="1440" w:right="1800" w:bottom="1440" w:left="1800" w:header="794" w:footer="1020" w:gutter="0"/>
          <w:pgBorders w:offsetFrom="page">
            <w:top w:val="none" w:sz="0" w:space="0"/>
            <w:left w:val="none" w:sz="0" w:space="0"/>
            <w:bottom w:val="none" w:sz="0" w:space="0"/>
            <w:right w:val="none" w:sz="0" w:space="0"/>
          </w:pgBorders>
          <w:pgNumType w:fmt="decimal"/>
          <w:cols w:space="425" w:num="1"/>
          <w:docGrid w:type="lines" w:linePitch="312" w:charSpace="0"/>
        </w:sectPr>
      </w:pPr>
    </w:p>
    <w:p w14:paraId="01727EB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pPr>
      <w:r>
        <w:drawing>
          <wp:inline distT="0" distB="0" distL="114300" distR="114300">
            <wp:extent cx="8849995" cy="5001260"/>
            <wp:effectExtent l="0" t="0" r="8255"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tretch>
                      <a:fillRect/>
                    </a:stretch>
                  </pic:blipFill>
                  <pic:spPr>
                    <a:xfrm>
                      <a:off x="0" y="0"/>
                      <a:ext cx="8849995" cy="5001260"/>
                    </a:xfrm>
                    <a:prstGeom prst="rect">
                      <a:avLst/>
                    </a:prstGeom>
                    <a:noFill/>
                    <a:ln>
                      <a:noFill/>
                    </a:ln>
                  </pic:spPr>
                </pic:pic>
              </a:graphicData>
            </a:graphic>
          </wp:inline>
        </w:drawing>
      </w:r>
    </w:p>
    <w:p w14:paraId="06F02EAF">
      <w:pPr>
        <w:keepNext w:val="0"/>
        <w:keepLines w:val="0"/>
        <w:widowControl/>
        <w:suppressLineNumbers w:val="0"/>
        <w:jc w:val="center"/>
        <w:rPr>
          <w:rFonts w:hint="eastAsia" w:ascii="宋体" w:hAnsi="宋体" w:eastAsia="宋体" w:cs="宋体"/>
          <w:b/>
          <w:bCs/>
          <w:color w:val="000000"/>
          <w:kern w:val="0"/>
          <w:sz w:val="24"/>
          <w:szCs w:val="24"/>
          <w:lang w:val="en-US" w:eastAsia="zh-CN" w:bidi="ar"/>
        </w:rPr>
        <w:sectPr>
          <w:pgSz w:w="16838" w:h="11906" w:orient="landscape"/>
          <w:pgMar w:top="1800" w:right="1440" w:bottom="1800" w:left="1440" w:header="1191" w:footer="1020" w:gutter="0"/>
          <w:pgBorders w:offsetFrom="page">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eastAsia="宋体" w:cs="宋体"/>
          <w:b/>
          <w:bCs/>
          <w:color w:val="000000"/>
          <w:kern w:val="0"/>
          <w:sz w:val="24"/>
          <w:szCs w:val="24"/>
          <w:lang w:val="en-US" w:eastAsia="zh-CN" w:bidi="ar"/>
        </w:rPr>
        <w:t>图3.6-1  一期二阶段工艺流程</w:t>
      </w:r>
    </w:p>
    <w:p w14:paraId="7FFB800D">
      <w:pPr>
        <w:keepNext w:val="0"/>
        <w:keepLines w:val="0"/>
        <w:pageBreakBefore w:val="0"/>
        <w:widowControl/>
        <w:suppressLineNumbers w:val="0"/>
        <w:kinsoku/>
        <w:wordWrap/>
        <w:overflowPunct/>
        <w:topLinePunct w:val="0"/>
        <w:autoSpaceDE/>
        <w:autoSpaceDN/>
        <w:bidi w:val="0"/>
        <w:adjustRightInd/>
        <w:snapToGrid w:val="0"/>
        <w:spacing w:line="360" w:lineRule="auto"/>
        <w:ind w:firstLine="482" w:firstLineChars="200"/>
        <w:jc w:val="left"/>
        <w:textAlignment w:val="auto"/>
        <w:rPr>
          <w:rFonts w:hint="eastAsia" w:ascii="宋体" w:hAnsi="宋体" w:eastAsia="宋体" w:cs="宋体"/>
          <w:b/>
          <w:bCs/>
          <w:color w:val="000000" w:themeColor="text1"/>
          <w:kern w:val="0"/>
          <w:sz w:val="24"/>
          <w:szCs w:val="24"/>
          <w:lang w:val="en-US" w:eastAsia="zh-CN" w:bidi="ar"/>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工艺流程简述：</w:t>
      </w:r>
    </w:p>
    <w:p w14:paraId="1E579117">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本工程纳污范围内的污水通过排水管道输送至污水处理厂。污水在厂区内首先自流入粗格栅间；经粗格栅除去大的漂浮杂物后流入集水井，然后在集水井中经潜污泵提升至细格栅与曝气沉砂池，接着污水经细格栅除去细小漂浮物后，在沉砂池中去除</w:t>
      </w:r>
      <w:r>
        <w:rPr>
          <w:rFonts w:hint="eastAsia" w:ascii="宋体" w:hAnsi="宋体" w:cs="宋体"/>
          <w:color w:val="000000" w:themeColor="text1"/>
          <w:kern w:val="0"/>
          <w:sz w:val="24"/>
          <w:szCs w:val="24"/>
          <w:lang w:val="en-US" w:eastAsia="zh-CN" w:bidi="ar"/>
          <w14:textFill>
            <w14:solidFill>
              <w14:schemeClr w14:val="tx1"/>
            </w14:solidFill>
          </w14:textFill>
        </w:rPr>
        <w:t>泥沙</w:t>
      </w:r>
      <w:r>
        <w:rPr>
          <w:rFonts w:hint="eastAsia" w:ascii="宋体" w:hAnsi="宋体" w:eastAsia="宋体" w:cs="宋体"/>
          <w:color w:val="000000" w:themeColor="text1"/>
          <w:kern w:val="0"/>
          <w:sz w:val="24"/>
          <w:szCs w:val="24"/>
          <w:lang w:val="en-US" w:eastAsia="zh-CN" w:bidi="ar"/>
          <w14:textFill>
            <w14:solidFill>
              <w14:schemeClr w14:val="tx1"/>
            </w14:solidFill>
          </w14:textFill>
        </w:rPr>
        <w:t>，沉积在沉砂池底部的</w:t>
      </w:r>
      <w:r>
        <w:rPr>
          <w:rFonts w:hint="eastAsia" w:ascii="宋体" w:hAnsi="宋体" w:cs="宋体"/>
          <w:color w:val="000000" w:themeColor="text1"/>
          <w:kern w:val="0"/>
          <w:sz w:val="24"/>
          <w:szCs w:val="24"/>
          <w:lang w:val="en-US" w:eastAsia="zh-CN" w:bidi="ar"/>
          <w14:textFill>
            <w14:solidFill>
              <w14:schemeClr w14:val="tx1"/>
            </w14:solidFill>
          </w14:textFill>
        </w:rPr>
        <w:t>泥沙</w:t>
      </w:r>
      <w:r>
        <w:rPr>
          <w:rFonts w:hint="eastAsia" w:ascii="宋体" w:hAnsi="宋体" w:eastAsia="宋体" w:cs="宋体"/>
          <w:color w:val="000000" w:themeColor="text1"/>
          <w:kern w:val="0"/>
          <w:sz w:val="24"/>
          <w:szCs w:val="24"/>
          <w:lang w:val="en-US" w:eastAsia="zh-CN" w:bidi="ar"/>
          <w14:textFill>
            <w14:solidFill>
              <w14:schemeClr w14:val="tx1"/>
            </w14:solidFill>
          </w14:textFill>
        </w:rPr>
        <w:t>经吸砂机排入除砂机中进行砂水分离，上清液通过厂区排水管道自流入厂区污水管网中；经除砂后的污水进入配水井均匀分配的污水自流入生化池操作单元中进行生化处理；经生化处理后进入二沉池泥水分离，污泥排至污泥回流泵站内，其中一部分剩余污泥排入贮泥池内，上清液重力流进入高效沉淀池，经絮凝沉淀，进一步去除悬浮物及胶体；絮凝沉淀之后出水经提升后进入曝气生物滤池进一步去除有机物及氧化氨氮，氧化后的硝态氮在反硝化深床滤池的反硝化作用下脱氮；污水最终经过次氯酸钠消毒后经厂区总排口排入双桥河。</w:t>
      </w:r>
    </w:p>
    <w:p w14:paraId="67413B9F">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生化池排出的剩余污泥用污泥泵提升至脱水机房进行脱水；脱水产生的滤液通过厂区排水管道自流入粗格栅前的溢流井内进入处理系统进行二次处理。生化池需要的氧气由鼓风机供给，预处理设施产生的栅渣等杂物外运填埋处置。</w:t>
      </w:r>
    </w:p>
    <w:p w14:paraId="5CAB49F8">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2"/>
      </w:pPr>
      <w:bookmarkStart w:id="27" w:name="_Toc32390"/>
      <w:r>
        <w:rPr>
          <w:rFonts w:hint="eastAsia" w:ascii="宋体" w:hAnsi="宋体" w:eastAsia="宋体" w:cs="宋体"/>
          <w:b/>
          <w:bCs/>
          <w:color w:val="000000"/>
          <w:kern w:val="0"/>
          <w:sz w:val="24"/>
          <w:szCs w:val="24"/>
          <w:lang w:val="en-US" w:eastAsia="zh-CN" w:bidi="ar"/>
        </w:rPr>
        <w:t>3.6.4 产污环节</w:t>
      </w:r>
      <w:bookmarkEnd w:id="27"/>
    </w:p>
    <w:p w14:paraId="0DDCDF0E">
      <w:pPr>
        <w:keepNext w:val="0"/>
        <w:keepLines w:val="0"/>
        <w:pageBreakBefore w:val="0"/>
        <w:widowControl/>
        <w:suppressLineNumbers w:val="0"/>
        <w:kinsoku/>
        <w:wordWrap/>
        <w:overflowPunct/>
        <w:topLinePunct w:val="0"/>
        <w:autoSpaceDE/>
        <w:autoSpaceDN/>
        <w:bidi w:val="0"/>
        <w:adjustRightInd/>
        <w:snapToGrid w:val="0"/>
        <w:spacing w:line="360" w:lineRule="auto"/>
        <w:ind w:firstLine="482" w:firstLineChars="200"/>
        <w:jc w:val="both"/>
        <w:textAlignment w:val="auto"/>
        <w:rPr>
          <w:rFonts w:hint="default" w:ascii="宋体" w:hAnsi="宋体" w:eastAsia="宋体" w:cs="宋体"/>
          <w:b/>
          <w:bCs/>
          <w:color w:val="000000" w:themeColor="text1"/>
          <w:kern w:val="0"/>
          <w:sz w:val="24"/>
          <w:szCs w:val="24"/>
          <w:lang w:val="en-US" w:eastAsia="zh-CN" w:bidi="ar"/>
          <w14:textFill>
            <w14:solidFill>
              <w14:schemeClr w14:val="tx1"/>
            </w14:solidFill>
          </w14:textFill>
        </w:rPr>
      </w:pPr>
      <w:r>
        <w:rPr>
          <w:rFonts w:hint="eastAsia" w:ascii="宋体" w:hAnsi="宋体" w:cs="宋体"/>
          <w:b/>
          <w:bCs/>
          <w:color w:val="000000" w:themeColor="text1"/>
          <w:kern w:val="0"/>
          <w:sz w:val="24"/>
          <w:szCs w:val="24"/>
          <w:lang w:val="en-US" w:eastAsia="zh-CN" w:bidi="ar"/>
          <w14:textFill>
            <w14:solidFill>
              <w14:schemeClr w14:val="tx1"/>
            </w14:solidFill>
          </w14:textFill>
        </w:rPr>
        <w:t>（1）废气</w:t>
      </w:r>
    </w:p>
    <w:p w14:paraId="1425FB0D">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本次工程恶臭主要来源如下：粗格栅及进水泵站、细格栅及曝气沉砂池、水解酸化池、改良A</w:t>
      </w:r>
      <w:r>
        <w:rPr>
          <w:rFonts w:hint="eastAsia" w:ascii="宋体" w:hAnsi="宋体" w:eastAsia="宋体" w:cs="宋体"/>
          <w:color w:val="000000" w:themeColor="text1"/>
          <w:kern w:val="0"/>
          <w:sz w:val="24"/>
          <w:szCs w:val="24"/>
          <w:vertAlign w:val="superscript"/>
          <w:lang w:val="en-US" w:eastAsia="zh-CN" w:bidi="ar"/>
          <w14:textFill>
            <w14:solidFill>
              <w14:schemeClr w14:val="tx1"/>
            </w14:solidFill>
          </w14:textFill>
        </w:rPr>
        <w:t>2</w:t>
      </w:r>
      <w:r>
        <w:rPr>
          <w:rFonts w:hint="eastAsia" w:ascii="宋体" w:hAnsi="宋体" w:eastAsia="宋体" w:cs="宋体"/>
          <w:color w:val="000000" w:themeColor="text1"/>
          <w:kern w:val="0"/>
          <w:sz w:val="24"/>
          <w:szCs w:val="24"/>
          <w:lang w:val="en-US" w:eastAsia="zh-CN" w:bidi="ar"/>
          <w14:textFill>
            <w14:solidFill>
              <w14:schemeClr w14:val="tx1"/>
            </w14:solidFill>
          </w14:textFill>
        </w:rPr>
        <w:t>O氧化沟、污泥浓缩脱水机房</w:t>
      </w:r>
      <w:r>
        <w:rPr>
          <w:rFonts w:hint="eastAsia" w:ascii="宋体" w:hAnsi="宋体" w:cs="宋体"/>
          <w:color w:val="000000" w:themeColor="text1"/>
          <w:kern w:val="0"/>
          <w:sz w:val="24"/>
          <w:szCs w:val="24"/>
          <w:lang w:val="en-US" w:eastAsia="zh-CN" w:bidi="ar"/>
          <w14:textFill>
            <w14:solidFill>
              <w14:schemeClr w14:val="tx1"/>
            </w14:solidFill>
          </w14:textFill>
        </w:rPr>
        <w:t>、磁混凝除氟沉淀系统</w:t>
      </w:r>
      <w:r>
        <w:rPr>
          <w:rFonts w:hint="eastAsia" w:ascii="宋体" w:hAnsi="宋体" w:eastAsia="宋体" w:cs="宋体"/>
          <w:color w:val="000000" w:themeColor="text1"/>
          <w:kern w:val="0"/>
          <w:sz w:val="24"/>
          <w:szCs w:val="24"/>
          <w:lang w:val="en-US" w:eastAsia="zh-CN" w:bidi="ar"/>
          <w14:textFill>
            <w14:solidFill>
              <w14:schemeClr w14:val="tx1"/>
            </w14:solidFill>
          </w14:textFill>
        </w:rPr>
        <w:t>。恶臭污染物主要成分是H</w:t>
      </w:r>
      <w:r>
        <w:rPr>
          <w:rFonts w:hint="eastAsia" w:ascii="宋体" w:hAnsi="宋体" w:eastAsia="宋体" w:cs="宋体"/>
          <w:color w:val="000000" w:themeColor="text1"/>
          <w:kern w:val="0"/>
          <w:sz w:val="24"/>
          <w:szCs w:val="24"/>
          <w:vertAlign w:val="subscript"/>
          <w:lang w:val="en-US" w:eastAsia="zh-CN" w:bidi="ar"/>
          <w14:textFill>
            <w14:solidFill>
              <w14:schemeClr w14:val="tx1"/>
            </w14:solidFill>
          </w14:textFill>
        </w:rPr>
        <w:t>2</w:t>
      </w:r>
      <w:r>
        <w:rPr>
          <w:rFonts w:hint="eastAsia" w:ascii="宋体" w:hAnsi="宋体" w:eastAsia="宋体" w:cs="宋体"/>
          <w:color w:val="000000" w:themeColor="text1"/>
          <w:kern w:val="0"/>
          <w:sz w:val="24"/>
          <w:szCs w:val="24"/>
          <w:lang w:val="en-US" w:eastAsia="zh-CN" w:bidi="ar"/>
          <w14:textFill>
            <w14:solidFill>
              <w14:schemeClr w14:val="tx1"/>
            </w14:solidFill>
          </w14:textFill>
        </w:rPr>
        <w:t>S和NH</w:t>
      </w:r>
      <w:r>
        <w:rPr>
          <w:rFonts w:hint="eastAsia" w:ascii="宋体" w:hAnsi="宋体" w:eastAsia="宋体" w:cs="宋体"/>
          <w:color w:val="000000" w:themeColor="text1"/>
          <w:kern w:val="0"/>
          <w:sz w:val="24"/>
          <w:szCs w:val="24"/>
          <w:vertAlign w:val="subscript"/>
          <w:lang w:val="en-US" w:eastAsia="zh-CN" w:bidi="ar"/>
          <w14:textFill>
            <w14:solidFill>
              <w14:schemeClr w14:val="tx1"/>
            </w14:solidFill>
          </w14:textFill>
        </w:rPr>
        <w:t>3</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p>
    <w:p w14:paraId="66714AC5">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（2）废水 </w:t>
      </w:r>
    </w:p>
    <w:p w14:paraId="61C2E86D">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废水污染源主要是办公生活污水、生物滤池除臭系统喷淋废水、本工程处理后排放的尾水，主要污染物均为COD、BOD</w:t>
      </w:r>
      <w:r>
        <w:rPr>
          <w:rFonts w:hint="eastAsia" w:ascii="宋体" w:hAnsi="宋体" w:eastAsia="宋体" w:cs="宋体"/>
          <w:color w:val="000000" w:themeColor="text1"/>
          <w:kern w:val="0"/>
          <w:sz w:val="24"/>
          <w:szCs w:val="24"/>
          <w:vertAlign w:val="subscript"/>
          <w:lang w:val="en-US" w:eastAsia="zh-CN" w:bidi="ar"/>
          <w14:textFill>
            <w14:solidFill>
              <w14:schemeClr w14:val="tx1"/>
            </w14:solidFill>
          </w14:textFill>
        </w:rPr>
        <w:t>5</w:t>
      </w:r>
      <w:r>
        <w:rPr>
          <w:rFonts w:hint="eastAsia" w:ascii="宋体" w:hAnsi="宋体" w:eastAsia="宋体" w:cs="宋体"/>
          <w:color w:val="000000" w:themeColor="text1"/>
          <w:kern w:val="0"/>
          <w:sz w:val="24"/>
          <w:szCs w:val="24"/>
          <w:lang w:val="en-US" w:eastAsia="zh-CN" w:bidi="ar"/>
          <w14:textFill>
            <w14:solidFill>
              <w14:schemeClr w14:val="tx1"/>
            </w14:solidFill>
          </w14:textFill>
        </w:rPr>
        <w:t>、SS、NH</w:t>
      </w:r>
      <w:r>
        <w:rPr>
          <w:rFonts w:hint="eastAsia" w:ascii="宋体" w:hAnsi="宋体" w:eastAsia="宋体" w:cs="宋体"/>
          <w:color w:val="000000" w:themeColor="text1"/>
          <w:kern w:val="0"/>
          <w:sz w:val="24"/>
          <w:szCs w:val="24"/>
          <w:vertAlign w:val="subscript"/>
          <w:lang w:val="en-US" w:eastAsia="zh-CN" w:bidi="ar"/>
          <w14:textFill>
            <w14:solidFill>
              <w14:schemeClr w14:val="tx1"/>
            </w14:solidFill>
          </w14:textFill>
        </w:rPr>
        <w:t>3</w:t>
      </w:r>
      <w:r>
        <w:rPr>
          <w:rFonts w:hint="eastAsia" w:ascii="宋体" w:hAnsi="宋体" w:eastAsia="宋体" w:cs="宋体"/>
          <w:color w:val="000000" w:themeColor="text1"/>
          <w:kern w:val="0"/>
          <w:sz w:val="24"/>
          <w:szCs w:val="24"/>
          <w:lang w:val="en-US" w:eastAsia="zh-CN" w:bidi="ar"/>
          <w14:textFill>
            <w14:solidFill>
              <w14:schemeClr w14:val="tx1"/>
            </w14:solidFill>
          </w14:textFill>
        </w:rPr>
        <w:t>-N、TP、TN。厂区产生的办公生活污水、生物滤池除臭系统喷淋废水进入本项目污水处理厂处理，最终排入双桥河。</w:t>
      </w:r>
    </w:p>
    <w:p w14:paraId="46EF6162">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（3）噪声</w:t>
      </w:r>
    </w:p>
    <w:p w14:paraId="7BA4E5A8">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项目噪声主要</w:t>
      </w:r>
      <w:r>
        <w:rPr>
          <w:rFonts w:hint="eastAsia" w:ascii="宋体" w:hAnsi="宋体" w:cs="宋体"/>
          <w:color w:val="000000" w:themeColor="text1"/>
          <w:kern w:val="0"/>
          <w:sz w:val="24"/>
          <w:szCs w:val="24"/>
          <w:lang w:val="en-US" w:eastAsia="zh-CN" w:bidi="ar"/>
          <w14:textFill>
            <w14:solidFill>
              <w14:schemeClr w14:val="tx1"/>
            </w14:solidFill>
          </w14:textFill>
        </w:rPr>
        <w:t>来自</w:t>
      </w:r>
      <w:r>
        <w:rPr>
          <w:rFonts w:hint="eastAsia" w:ascii="宋体" w:hAnsi="宋体" w:eastAsia="宋体" w:cs="宋体"/>
          <w:color w:val="000000" w:themeColor="text1"/>
          <w:kern w:val="0"/>
          <w:sz w:val="24"/>
          <w:szCs w:val="24"/>
          <w:lang w:val="en-US" w:eastAsia="zh-CN" w:bidi="ar"/>
          <w14:textFill>
            <w14:solidFill>
              <w14:schemeClr w14:val="tx1"/>
            </w14:solidFill>
          </w14:textFill>
        </w:rPr>
        <w:t>污水处理厂的设备运行，包括各类泵、风机等。</w:t>
      </w:r>
    </w:p>
    <w:p w14:paraId="6B2C21A5">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（4）固废</w:t>
      </w:r>
    </w:p>
    <w:p w14:paraId="32A36892">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sz w:val="24"/>
          <w:szCs w:val="24"/>
          <w:lang w:val="en-GB"/>
          <w14:textFill>
            <w14:solidFill>
              <w14:schemeClr w14:val="tx1"/>
            </w14:solidFill>
          </w14:textFill>
        </w:rPr>
        <w:t>本项目产生的固废主要为：</w:t>
      </w:r>
      <w:r>
        <w:rPr>
          <w:rFonts w:hint="eastAsia" w:ascii="宋体" w:hAnsi="宋体" w:eastAsia="宋体" w:cs="宋体"/>
          <w:color w:val="000000" w:themeColor="text1"/>
          <w:sz w:val="24"/>
          <w:szCs w:val="24"/>
          <w:lang w:val="en-US" w:eastAsia="zh-CN"/>
          <w14:textFill>
            <w14:solidFill>
              <w14:schemeClr w14:val="tx1"/>
            </w14:solidFill>
          </w14:textFill>
        </w:rPr>
        <w:t>格栅井分离</w:t>
      </w:r>
      <w:r>
        <w:rPr>
          <w:rFonts w:hint="eastAsia" w:ascii="宋体" w:hAnsi="宋体" w:cs="宋体"/>
          <w:color w:val="000000" w:themeColor="text1"/>
          <w:sz w:val="24"/>
          <w:szCs w:val="24"/>
          <w:lang w:val="en-US" w:eastAsia="zh-CN"/>
          <w14:textFill>
            <w14:solidFill>
              <w14:schemeClr w14:val="tx1"/>
            </w14:solidFill>
          </w14:textFill>
        </w:rPr>
        <w:t>产生的</w:t>
      </w:r>
      <w:r>
        <w:rPr>
          <w:rFonts w:hint="eastAsia" w:ascii="宋体" w:hAnsi="宋体" w:eastAsia="宋体" w:cs="宋体"/>
          <w:color w:val="000000" w:themeColor="text1"/>
          <w:sz w:val="24"/>
          <w:szCs w:val="24"/>
          <w:lang w:val="en-US" w:eastAsia="zh-CN"/>
          <w14:textFill>
            <w14:solidFill>
              <w14:schemeClr w14:val="tx1"/>
            </w14:solidFill>
          </w14:textFill>
        </w:rPr>
        <w:t>栅渣</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沉砂池分离产生的沉砂</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改良</w:t>
      </w:r>
      <w:r>
        <w:rPr>
          <w:rFonts w:hint="default" w:ascii="宋体" w:hAnsi="宋体" w:eastAsia="宋体" w:cs="宋体"/>
          <w:color w:val="000000" w:themeColor="text1"/>
          <w:sz w:val="24"/>
          <w:szCs w:val="24"/>
          <w:lang w:val="en-US" w:eastAsia="zh-CN"/>
          <w14:textFill>
            <w14:solidFill>
              <w14:schemeClr w14:val="tx1"/>
            </w14:solidFill>
          </w14:textFill>
        </w:rPr>
        <w:t>AAO</w:t>
      </w:r>
      <w:r>
        <w:rPr>
          <w:rFonts w:hint="eastAsia" w:ascii="宋体" w:hAnsi="宋体" w:eastAsia="宋体" w:cs="宋体"/>
          <w:color w:val="000000" w:themeColor="text1"/>
          <w:sz w:val="24"/>
          <w:szCs w:val="24"/>
          <w:lang w:val="en-US" w:eastAsia="zh-CN"/>
          <w14:textFill>
            <w14:solidFill>
              <w14:schemeClr w14:val="tx1"/>
            </w14:solidFill>
          </w14:textFill>
        </w:rPr>
        <w:t>氧化沟</w:t>
      </w:r>
      <w:r>
        <w:rPr>
          <w:rFonts w:hint="default"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高效沉淀池</w:t>
      </w:r>
      <w:r>
        <w:rPr>
          <w:rFonts w:hint="default"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深床滤池、混凝除氟沉淀污水处理过程中产生的污泥</w:t>
      </w:r>
      <w:r>
        <w:rPr>
          <w:rFonts w:hint="eastAsia" w:ascii="宋体" w:hAnsi="宋体" w:cs="宋体"/>
          <w:color w:val="000000" w:themeColor="text1"/>
          <w:sz w:val="24"/>
          <w:szCs w:val="24"/>
          <w:lang w:val="en-US" w:eastAsia="zh-CN"/>
          <w14:textFill>
            <w14:solidFill>
              <w14:schemeClr w14:val="tx1"/>
            </w14:solidFill>
          </w14:textFill>
        </w:rPr>
        <w:t>以及设备保养过程中产生的废润滑油。</w:t>
      </w:r>
    </w:p>
    <w:p w14:paraId="013601BE">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项目污染源汇总见表3.6-3。</w:t>
      </w:r>
    </w:p>
    <w:p w14:paraId="10A00E1B">
      <w:pPr>
        <w:keepNext w:val="0"/>
        <w:keepLines w:val="0"/>
        <w:widowControl/>
        <w:suppressLineNumbers w:val="0"/>
        <w:jc w:val="center"/>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表3.</w:t>
      </w:r>
      <w:r>
        <w:rPr>
          <w:rFonts w:hint="eastAsia" w:ascii="宋体" w:hAnsi="宋体" w:cs="宋体"/>
          <w:b/>
          <w:bCs/>
          <w:color w:val="000000"/>
          <w:kern w:val="0"/>
          <w:sz w:val="24"/>
          <w:szCs w:val="24"/>
          <w:lang w:val="en-US" w:eastAsia="zh-CN" w:bidi="ar"/>
        </w:rPr>
        <w:t>6</w:t>
      </w:r>
      <w:r>
        <w:rPr>
          <w:rFonts w:hint="eastAsia" w:ascii="宋体" w:hAnsi="宋体" w:eastAsia="宋体" w:cs="宋体"/>
          <w:b/>
          <w:bCs/>
          <w:color w:val="000000"/>
          <w:kern w:val="0"/>
          <w:sz w:val="24"/>
          <w:szCs w:val="24"/>
          <w:lang w:val="en-US" w:eastAsia="zh-CN" w:bidi="ar"/>
        </w:rPr>
        <w:t>-3  工程产污环节及主要污染源汇总</w:t>
      </w:r>
    </w:p>
    <w:tbl>
      <w:tblPr>
        <w:tblStyle w:val="19"/>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290"/>
        <w:gridCol w:w="1190"/>
        <w:gridCol w:w="3671"/>
        <w:gridCol w:w="2368"/>
      </w:tblGrid>
      <w:tr w14:paraId="6A9FA9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57" w:type="pct"/>
            <w:tcBorders>
              <w:tl2br w:val="nil"/>
              <w:tr2bl w:val="nil"/>
            </w:tcBorders>
            <w:shd w:val="clear" w:color="auto" w:fill="auto"/>
            <w:vAlign w:val="center"/>
          </w:tcPr>
          <w:p w14:paraId="550F2B7A">
            <w:pPr>
              <w:keepNext w:val="0"/>
              <w:keepLines w:val="0"/>
              <w:pageBreakBefore w:val="0"/>
              <w:widowControl/>
              <w:suppressLineNumbers w:val="0"/>
              <w:kinsoku/>
              <w:wordWrap/>
              <w:overflowPunct/>
              <w:topLinePunct w:val="0"/>
              <w:autoSpaceDE/>
              <w:autoSpaceDN/>
              <w:bidi w:val="0"/>
              <w:adjustRightInd/>
              <w:snapToGrid w:val="0"/>
              <w:ind w:firstLineChars="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类别</w:t>
            </w:r>
          </w:p>
        </w:tc>
        <w:tc>
          <w:tcPr>
            <w:tcW w:w="698" w:type="pct"/>
            <w:tcBorders>
              <w:tl2br w:val="nil"/>
              <w:tr2bl w:val="nil"/>
            </w:tcBorders>
            <w:shd w:val="clear" w:color="auto" w:fill="auto"/>
            <w:vAlign w:val="center"/>
          </w:tcPr>
          <w:p w14:paraId="7B66D0E3">
            <w:pPr>
              <w:keepNext w:val="0"/>
              <w:keepLines w:val="0"/>
              <w:pageBreakBefore w:val="0"/>
              <w:widowControl/>
              <w:suppressLineNumbers w:val="0"/>
              <w:kinsoku/>
              <w:wordWrap/>
              <w:overflowPunct/>
              <w:topLinePunct w:val="0"/>
              <w:autoSpaceDE/>
              <w:autoSpaceDN/>
              <w:bidi w:val="0"/>
              <w:adjustRightInd/>
              <w:snapToGrid w:val="0"/>
              <w:ind w:firstLineChars="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编号</w:t>
            </w:r>
          </w:p>
        </w:tc>
        <w:tc>
          <w:tcPr>
            <w:tcW w:w="2154" w:type="pct"/>
            <w:tcBorders>
              <w:tl2br w:val="nil"/>
              <w:tr2bl w:val="nil"/>
            </w:tcBorders>
            <w:shd w:val="clear" w:color="auto" w:fill="auto"/>
            <w:vAlign w:val="center"/>
          </w:tcPr>
          <w:p w14:paraId="22524828">
            <w:pPr>
              <w:keepNext w:val="0"/>
              <w:keepLines w:val="0"/>
              <w:pageBreakBefore w:val="0"/>
              <w:widowControl/>
              <w:suppressLineNumbers w:val="0"/>
              <w:kinsoku/>
              <w:wordWrap/>
              <w:overflowPunct/>
              <w:topLinePunct w:val="0"/>
              <w:autoSpaceDE/>
              <w:autoSpaceDN/>
              <w:bidi w:val="0"/>
              <w:adjustRightInd/>
              <w:snapToGrid w:val="0"/>
              <w:ind w:firstLineChars="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产污环节</w:t>
            </w:r>
          </w:p>
        </w:tc>
        <w:tc>
          <w:tcPr>
            <w:tcW w:w="1389" w:type="pct"/>
            <w:tcBorders>
              <w:tl2br w:val="nil"/>
              <w:tr2bl w:val="nil"/>
            </w:tcBorders>
            <w:shd w:val="clear" w:color="auto" w:fill="auto"/>
            <w:vAlign w:val="center"/>
          </w:tcPr>
          <w:p w14:paraId="6FCF1AF5">
            <w:pPr>
              <w:keepNext w:val="0"/>
              <w:keepLines w:val="0"/>
              <w:pageBreakBefore w:val="0"/>
              <w:widowControl/>
              <w:suppressLineNumbers w:val="0"/>
              <w:kinsoku/>
              <w:wordWrap/>
              <w:overflowPunct/>
              <w:topLinePunct w:val="0"/>
              <w:autoSpaceDE/>
              <w:autoSpaceDN/>
              <w:bidi w:val="0"/>
              <w:adjustRightInd/>
              <w:snapToGrid w:val="0"/>
              <w:ind w:firstLineChars="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主要污染物</w:t>
            </w:r>
          </w:p>
        </w:tc>
      </w:tr>
      <w:tr w14:paraId="210ABF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57" w:type="pct"/>
            <w:vMerge w:val="restart"/>
            <w:tcBorders>
              <w:tl2br w:val="nil"/>
              <w:tr2bl w:val="nil"/>
            </w:tcBorders>
            <w:shd w:val="clear" w:color="auto" w:fill="auto"/>
            <w:vAlign w:val="center"/>
          </w:tcPr>
          <w:p w14:paraId="55F86456">
            <w:pPr>
              <w:keepNext w:val="0"/>
              <w:keepLines w:val="0"/>
              <w:pageBreakBefore w:val="0"/>
              <w:widowControl/>
              <w:suppressLineNumbers w:val="0"/>
              <w:kinsoku/>
              <w:wordWrap/>
              <w:overflowPunct/>
              <w:topLinePunct w:val="0"/>
              <w:autoSpaceDE/>
              <w:autoSpaceDN/>
              <w:bidi w:val="0"/>
              <w:adjustRightInd/>
              <w:snapToGrid w:val="0"/>
              <w:ind w:firstLineChars="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废气</w:t>
            </w:r>
          </w:p>
        </w:tc>
        <w:tc>
          <w:tcPr>
            <w:tcW w:w="698" w:type="pct"/>
            <w:vMerge w:val="restart"/>
            <w:tcBorders>
              <w:tl2br w:val="nil"/>
              <w:tr2bl w:val="nil"/>
            </w:tcBorders>
            <w:shd w:val="clear" w:color="auto" w:fill="auto"/>
            <w:vAlign w:val="center"/>
          </w:tcPr>
          <w:p w14:paraId="3C5EF971">
            <w:pPr>
              <w:keepNext w:val="0"/>
              <w:keepLines w:val="0"/>
              <w:pageBreakBefore w:val="0"/>
              <w:widowControl/>
              <w:suppressLineNumbers w:val="0"/>
              <w:kinsoku/>
              <w:wordWrap/>
              <w:overflowPunct/>
              <w:topLinePunct w:val="0"/>
              <w:autoSpaceDE/>
              <w:autoSpaceDN/>
              <w:bidi w:val="0"/>
              <w:adjustRightInd/>
              <w:snapToGrid w:val="0"/>
              <w:ind w:firstLineChars="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G</w:t>
            </w:r>
          </w:p>
        </w:tc>
        <w:tc>
          <w:tcPr>
            <w:tcW w:w="2154" w:type="pct"/>
            <w:tcBorders>
              <w:tl2br w:val="nil"/>
              <w:tr2bl w:val="nil"/>
            </w:tcBorders>
            <w:shd w:val="clear" w:color="auto" w:fill="auto"/>
            <w:vAlign w:val="center"/>
          </w:tcPr>
          <w:p w14:paraId="446AA83D">
            <w:pPr>
              <w:keepNext w:val="0"/>
              <w:keepLines w:val="0"/>
              <w:pageBreakBefore w:val="0"/>
              <w:widowControl/>
              <w:suppressLineNumbers w:val="0"/>
              <w:kinsoku/>
              <w:wordWrap/>
              <w:overflowPunct/>
              <w:topLinePunct w:val="0"/>
              <w:autoSpaceDE/>
              <w:autoSpaceDN/>
              <w:bidi w:val="0"/>
              <w:adjustRightInd/>
              <w:snapToGrid w:val="0"/>
              <w:ind w:firstLineChars="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粗格栅及进水泵房</w:t>
            </w:r>
          </w:p>
        </w:tc>
        <w:tc>
          <w:tcPr>
            <w:tcW w:w="1389" w:type="pct"/>
            <w:vMerge w:val="restart"/>
            <w:tcBorders>
              <w:tl2br w:val="nil"/>
              <w:tr2bl w:val="nil"/>
            </w:tcBorders>
            <w:shd w:val="clear" w:color="auto" w:fill="auto"/>
            <w:vAlign w:val="center"/>
          </w:tcPr>
          <w:p w14:paraId="548D30DB">
            <w:pPr>
              <w:keepNext w:val="0"/>
              <w:keepLines w:val="0"/>
              <w:pageBreakBefore w:val="0"/>
              <w:widowControl/>
              <w:suppressLineNumbers w:val="0"/>
              <w:kinsoku/>
              <w:wordWrap/>
              <w:overflowPunct/>
              <w:topLinePunct w:val="0"/>
              <w:autoSpaceDE/>
              <w:autoSpaceDN/>
              <w:bidi w:val="0"/>
              <w:adjustRightInd/>
              <w:snapToGrid w:val="0"/>
              <w:ind w:firstLineChars="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恶臭（H</w:t>
            </w:r>
            <w:r>
              <w:rPr>
                <w:rFonts w:hint="eastAsia" w:ascii="宋体" w:hAnsi="宋体" w:eastAsia="宋体" w:cs="宋体"/>
                <w:i w:val="0"/>
                <w:iCs w:val="0"/>
                <w:color w:val="000000" w:themeColor="text1"/>
                <w:kern w:val="0"/>
                <w:sz w:val="21"/>
                <w:szCs w:val="21"/>
                <w:u w:val="none"/>
                <w:vertAlign w:val="subscript"/>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S、NH</w:t>
            </w:r>
            <w:r>
              <w:rPr>
                <w:rFonts w:hint="eastAsia" w:ascii="宋体" w:hAnsi="宋体" w:eastAsia="宋体" w:cs="宋体"/>
                <w:i w:val="0"/>
                <w:iCs w:val="0"/>
                <w:color w:val="000000" w:themeColor="text1"/>
                <w:kern w:val="0"/>
                <w:sz w:val="21"/>
                <w:szCs w:val="21"/>
                <w:u w:val="none"/>
                <w:vertAlign w:val="subscript"/>
                <w:lang w:val="en-US" w:eastAsia="zh-CN" w:bidi="ar"/>
                <w14:textFill>
                  <w14:solidFill>
                    <w14:schemeClr w14:val="tx1"/>
                  </w14:solidFill>
                </w14:textFill>
              </w:rPr>
              <w:t>3）</w:t>
            </w:r>
          </w:p>
        </w:tc>
      </w:tr>
      <w:tr w14:paraId="52705B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57" w:type="pct"/>
            <w:vMerge w:val="continue"/>
            <w:tcBorders>
              <w:tl2br w:val="nil"/>
              <w:tr2bl w:val="nil"/>
            </w:tcBorders>
            <w:shd w:val="clear" w:color="auto" w:fill="auto"/>
            <w:vAlign w:val="center"/>
          </w:tcPr>
          <w:p w14:paraId="7156AD70">
            <w:pPr>
              <w:keepNext w:val="0"/>
              <w:keepLines w:val="0"/>
              <w:pageBreakBefore w:val="0"/>
              <w:widowControl/>
              <w:kinsoku/>
              <w:wordWrap/>
              <w:overflowPunct/>
              <w:topLinePunct w:val="0"/>
              <w:autoSpaceDE/>
              <w:autoSpaceDN/>
              <w:bidi w:val="0"/>
              <w:adjustRightInd/>
              <w:snapToGrid w:val="0"/>
              <w:ind w:firstLineChars="0"/>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698" w:type="pct"/>
            <w:vMerge w:val="continue"/>
            <w:tcBorders>
              <w:tl2br w:val="nil"/>
              <w:tr2bl w:val="nil"/>
            </w:tcBorders>
            <w:shd w:val="clear" w:color="auto" w:fill="auto"/>
            <w:vAlign w:val="center"/>
          </w:tcPr>
          <w:p w14:paraId="3F565B00">
            <w:pPr>
              <w:keepNext w:val="0"/>
              <w:keepLines w:val="0"/>
              <w:pageBreakBefore w:val="0"/>
              <w:widowControl/>
              <w:kinsoku/>
              <w:wordWrap/>
              <w:overflowPunct/>
              <w:topLinePunct w:val="0"/>
              <w:autoSpaceDE/>
              <w:autoSpaceDN/>
              <w:bidi w:val="0"/>
              <w:adjustRightInd/>
              <w:snapToGrid w:val="0"/>
              <w:ind w:firstLineChars="0"/>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2154" w:type="pct"/>
            <w:tcBorders>
              <w:tl2br w:val="nil"/>
              <w:tr2bl w:val="nil"/>
            </w:tcBorders>
            <w:shd w:val="clear" w:color="auto" w:fill="auto"/>
            <w:vAlign w:val="center"/>
          </w:tcPr>
          <w:p w14:paraId="22BF4E39">
            <w:pPr>
              <w:keepNext w:val="0"/>
              <w:keepLines w:val="0"/>
              <w:pageBreakBefore w:val="0"/>
              <w:widowControl/>
              <w:suppressLineNumbers w:val="0"/>
              <w:kinsoku/>
              <w:wordWrap/>
              <w:overflowPunct/>
              <w:topLinePunct w:val="0"/>
              <w:autoSpaceDE/>
              <w:autoSpaceDN/>
              <w:bidi w:val="0"/>
              <w:adjustRightInd/>
              <w:snapToGrid w:val="0"/>
              <w:ind w:firstLineChars="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细格栅及曝气沉砂池</w:t>
            </w:r>
          </w:p>
        </w:tc>
        <w:tc>
          <w:tcPr>
            <w:tcW w:w="1389" w:type="pct"/>
            <w:vMerge w:val="continue"/>
            <w:tcBorders>
              <w:tl2br w:val="nil"/>
              <w:tr2bl w:val="nil"/>
            </w:tcBorders>
            <w:shd w:val="clear" w:color="auto" w:fill="auto"/>
            <w:vAlign w:val="center"/>
          </w:tcPr>
          <w:p w14:paraId="4E631977">
            <w:pPr>
              <w:keepNext w:val="0"/>
              <w:keepLines w:val="0"/>
              <w:pageBreakBefore w:val="0"/>
              <w:widowControl/>
              <w:kinsoku/>
              <w:wordWrap/>
              <w:overflowPunct/>
              <w:topLinePunct w:val="0"/>
              <w:autoSpaceDE/>
              <w:autoSpaceDN/>
              <w:bidi w:val="0"/>
              <w:adjustRightInd/>
              <w:snapToGrid w:val="0"/>
              <w:ind w:firstLineChars="0"/>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14:paraId="7AAE39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57" w:type="pct"/>
            <w:vMerge w:val="continue"/>
            <w:tcBorders>
              <w:tl2br w:val="nil"/>
              <w:tr2bl w:val="nil"/>
            </w:tcBorders>
            <w:shd w:val="clear" w:color="auto" w:fill="auto"/>
            <w:vAlign w:val="center"/>
          </w:tcPr>
          <w:p w14:paraId="15E2C959">
            <w:pPr>
              <w:keepNext w:val="0"/>
              <w:keepLines w:val="0"/>
              <w:pageBreakBefore w:val="0"/>
              <w:widowControl/>
              <w:kinsoku/>
              <w:wordWrap/>
              <w:overflowPunct/>
              <w:topLinePunct w:val="0"/>
              <w:autoSpaceDE/>
              <w:autoSpaceDN/>
              <w:bidi w:val="0"/>
              <w:adjustRightInd/>
              <w:snapToGrid w:val="0"/>
              <w:ind w:firstLineChars="0"/>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698" w:type="pct"/>
            <w:vMerge w:val="continue"/>
            <w:tcBorders>
              <w:tl2br w:val="nil"/>
              <w:tr2bl w:val="nil"/>
            </w:tcBorders>
            <w:shd w:val="clear" w:color="auto" w:fill="auto"/>
            <w:vAlign w:val="center"/>
          </w:tcPr>
          <w:p w14:paraId="2BA36ABE">
            <w:pPr>
              <w:keepNext w:val="0"/>
              <w:keepLines w:val="0"/>
              <w:pageBreakBefore w:val="0"/>
              <w:widowControl/>
              <w:kinsoku/>
              <w:wordWrap/>
              <w:overflowPunct/>
              <w:topLinePunct w:val="0"/>
              <w:autoSpaceDE/>
              <w:autoSpaceDN/>
              <w:bidi w:val="0"/>
              <w:adjustRightInd/>
              <w:snapToGrid w:val="0"/>
              <w:ind w:firstLineChars="0"/>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2154" w:type="pct"/>
            <w:tcBorders>
              <w:tl2br w:val="nil"/>
              <w:tr2bl w:val="nil"/>
            </w:tcBorders>
            <w:shd w:val="clear" w:color="auto" w:fill="auto"/>
            <w:vAlign w:val="center"/>
          </w:tcPr>
          <w:p w14:paraId="2C197AFD">
            <w:pPr>
              <w:keepNext w:val="0"/>
              <w:keepLines w:val="0"/>
              <w:pageBreakBefore w:val="0"/>
              <w:widowControl/>
              <w:suppressLineNumbers w:val="0"/>
              <w:kinsoku/>
              <w:wordWrap/>
              <w:overflowPunct/>
              <w:topLinePunct w:val="0"/>
              <w:autoSpaceDE/>
              <w:autoSpaceDN/>
              <w:bidi w:val="0"/>
              <w:adjustRightInd/>
              <w:snapToGrid w:val="0"/>
              <w:ind w:firstLineChars="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改良AA0氧化沟、水解酸化池</w:t>
            </w:r>
          </w:p>
        </w:tc>
        <w:tc>
          <w:tcPr>
            <w:tcW w:w="1389" w:type="pct"/>
            <w:vMerge w:val="continue"/>
            <w:tcBorders>
              <w:tl2br w:val="nil"/>
              <w:tr2bl w:val="nil"/>
            </w:tcBorders>
            <w:shd w:val="clear" w:color="auto" w:fill="auto"/>
            <w:vAlign w:val="center"/>
          </w:tcPr>
          <w:p w14:paraId="6E7D1A46">
            <w:pPr>
              <w:keepNext w:val="0"/>
              <w:keepLines w:val="0"/>
              <w:pageBreakBefore w:val="0"/>
              <w:widowControl/>
              <w:kinsoku/>
              <w:wordWrap/>
              <w:overflowPunct/>
              <w:topLinePunct w:val="0"/>
              <w:autoSpaceDE/>
              <w:autoSpaceDN/>
              <w:bidi w:val="0"/>
              <w:adjustRightInd/>
              <w:snapToGrid w:val="0"/>
              <w:ind w:firstLineChars="0"/>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14:paraId="7E2423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57" w:type="pct"/>
            <w:vMerge w:val="continue"/>
            <w:tcBorders>
              <w:tl2br w:val="nil"/>
              <w:tr2bl w:val="nil"/>
            </w:tcBorders>
            <w:shd w:val="clear" w:color="auto" w:fill="auto"/>
            <w:vAlign w:val="center"/>
          </w:tcPr>
          <w:p w14:paraId="4418386F">
            <w:pPr>
              <w:keepNext w:val="0"/>
              <w:keepLines w:val="0"/>
              <w:pageBreakBefore w:val="0"/>
              <w:widowControl/>
              <w:kinsoku/>
              <w:wordWrap/>
              <w:overflowPunct/>
              <w:topLinePunct w:val="0"/>
              <w:autoSpaceDE/>
              <w:autoSpaceDN/>
              <w:bidi w:val="0"/>
              <w:adjustRightInd/>
              <w:snapToGrid w:val="0"/>
              <w:ind w:firstLineChars="0"/>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698" w:type="pct"/>
            <w:vMerge w:val="continue"/>
            <w:tcBorders>
              <w:tl2br w:val="nil"/>
              <w:tr2bl w:val="nil"/>
            </w:tcBorders>
            <w:shd w:val="clear" w:color="auto" w:fill="auto"/>
            <w:vAlign w:val="center"/>
          </w:tcPr>
          <w:p w14:paraId="00E6ACFA">
            <w:pPr>
              <w:keepNext w:val="0"/>
              <w:keepLines w:val="0"/>
              <w:pageBreakBefore w:val="0"/>
              <w:widowControl/>
              <w:kinsoku/>
              <w:wordWrap/>
              <w:overflowPunct/>
              <w:topLinePunct w:val="0"/>
              <w:autoSpaceDE/>
              <w:autoSpaceDN/>
              <w:bidi w:val="0"/>
              <w:adjustRightInd/>
              <w:snapToGrid w:val="0"/>
              <w:ind w:firstLineChars="0"/>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2154" w:type="pct"/>
            <w:tcBorders>
              <w:tl2br w:val="nil"/>
              <w:tr2bl w:val="nil"/>
            </w:tcBorders>
            <w:shd w:val="clear" w:color="auto" w:fill="auto"/>
            <w:vAlign w:val="center"/>
          </w:tcPr>
          <w:p w14:paraId="25BA4A06">
            <w:pPr>
              <w:keepNext w:val="0"/>
              <w:keepLines w:val="0"/>
              <w:pageBreakBefore w:val="0"/>
              <w:widowControl/>
              <w:suppressLineNumbers w:val="0"/>
              <w:kinsoku/>
              <w:wordWrap/>
              <w:overflowPunct/>
              <w:topLinePunct w:val="0"/>
              <w:autoSpaceDE/>
              <w:autoSpaceDN/>
              <w:bidi w:val="0"/>
              <w:adjustRightInd/>
              <w:snapToGrid w:val="0"/>
              <w:ind w:firstLineChars="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污泥浓缩脱水机房</w:t>
            </w:r>
          </w:p>
        </w:tc>
        <w:tc>
          <w:tcPr>
            <w:tcW w:w="1389" w:type="pct"/>
            <w:vMerge w:val="continue"/>
            <w:tcBorders>
              <w:tl2br w:val="nil"/>
              <w:tr2bl w:val="nil"/>
            </w:tcBorders>
            <w:shd w:val="clear" w:color="auto" w:fill="auto"/>
            <w:vAlign w:val="center"/>
          </w:tcPr>
          <w:p w14:paraId="7E12527F">
            <w:pPr>
              <w:keepNext w:val="0"/>
              <w:keepLines w:val="0"/>
              <w:pageBreakBefore w:val="0"/>
              <w:widowControl/>
              <w:kinsoku/>
              <w:wordWrap/>
              <w:overflowPunct/>
              <w:topLinePunct w:val="0"/>
              <w:autoSpaceDE/>
              <w:autoSpaceDN/>
              <w:bidi w:val="0"/>
              <w:adjustRightInd/>
              <w:snapToGrid w:val="0"/>
              <w:ind w:firstLineChars="0"/>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14:paraId="148661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57" w:type="pct"/>
            <w:vMerge w:val="continue"/>
            <w:tcBorders>
              <w:tl2br w:val="nil"/>
              <w:tr2bl w:val="nil"/>
            </w:tcBorders>
            <w:shd w:val="clear" w:color="auto" w:fill="auto"/>
            <w:vAlign w:val="center"/>
          </w:tcPr>
          <w:p w14:paraId="4921BB4F">
            <w:pPr>
              <w:keepNext w:val="0"/>
              <w:keepLines w:val="0"/>
              <w:pageBreakBefore w:val="0"/>
              <w:widowControl/>
              <w:kinsoku/>
              <w:wordWrap/>
              <w:overflowPunct/>
              <w:topLinePunct w:val="0"/>
              <w:autoSpaceDE/>
              <w:autoSpaceDN/>
              <w:bidi w:val="0"/>
              <w:adjustRightInd/>
              <w:snapToGrid w:val="0"/>
              <w:ind w:firstLineChars="0"/>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698" w:type="pct"/>
            <w:vMerge w:val="continue"/>
            <w:tcBorders>
              <w:tl2br w:val="nil"/>
              <w:tr2bl w:val="nil"/>
            </w:tcBorders>
            <w:shd w:val="clear" w:color="auto" w:fill="auto"/>
            <w:vAlign w:val="center"/>
          </w:tcPr>
          <w:p w14:paraId="55B8685C">
            <w:pPr>
              <w:keepNext w:val="0"/>
              <w:keepLines w:val="0"/>
              <w:pageBreakBefore w:val="0"/>
              <w:widowControl/>
              <w:kinsoku/>
              <w:wordWrap/>
              <w:overflowPunct/>
              <w:topLinePunct w:val="0"/>
              <w:autoSpaceDE/>
              <w:autoSpaceDN/>
              <w:bidi w:val="0"/>
              <w:adjustRightInd/>
              <w:snapToGrid w:val="0"/>
              <w:ind w:firstLineChars="0"/>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2154" w:type="pct"/>
            <w:tcBorders>
              <w:tl2br w:val="nil"/>
              <w:tr2bl w:val="nil"/>
            </w:tcBorders>
            <w:shd w:val="clear" w:color="auto" w:fill="auto"/>
            <w:vAlign w:val="center"/>
          </w:tcPr>
          <w:p w14:paraId="135435E2">
            <w:pPr>
              <w:keepNext w:val="0"/>
              <w:keepLines w:val="0"/>
              <w:pageBreakBefore w:val="0"/>
              <w:widowControl/>
              <w:suppressLineNumbers w:val="0"/>
              <w:kinsoku/>
              <w:wordWrap/>
              <w:overflowPunct/>
              <w:topLinePunct w:val="0"/>
              <w:autoSpaceDE/>
              <w:autoSpaceDN/>
              <w:bidi w:val="0"/>
              <w:adjustRightInd/>
              <w:snapToGrid w:val="0"/>
              <w:ind w:firstLineChars="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磁混凝除氟沉淀系统</w:t>
            </w:r>
          </w:p>
        </w:tc>
        <w:tc>
          <w:tcPr>
            <w:tcW w:w="1389" w:type="pct"/>
            <w:vMerge w:val="continue"/>
            <w:tcBorders>
              <w:tl2br w:val="nil"/>
              <w:tr2bl w:val="nil"/>
            </w:tcBorders>
            <w:shd w:val="clear" w:color="auto" w:fill="auto"/>
            <w:vAlign w:val="center"/>
          </w:tcPr>
          <w:p w14:paraId="4AEDC9CD">
            <w:pPr>
              <w:keepNext w:val="0"/>
              <w:keepLines w:val="0"/>
              <w:pageBreakBefore w:val="0"/>
              <w:widowControl/>
              <w:kinsoku/>
              <w:wordWrap/>
              <w:overflowPunct/>
              <w:topLinePunct w:val="0"/>
              <w:autoSpaceDE/>
              <w:autoSpaceDN/>
              <w:bidi w:val="0"/>
              <w:adjustRightInd/>
              <w:snapToGrid w:val="0"/>
              <w:ind w:firstLineChars="0"/>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14:paraId="501E79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57" w:type="pct"/>
            <w:vMerge w:val="restart"/>
            <w:tcBorders>
              <w:tl2br w:val="nil"/>
              <w:tr2bl w:val="nil"/>
            </w:tcBorders>
            <w:shd w:val="clear" w:color="auto" w:fill="auto"/>
            <w:vAlign w:val="center"/>
          </w:tcPr>
          <w:p w14:paraId="096A8085">
            <w:pPr>
              <w:keepNext w:val="0"/>
              <w:keepLines w:val="0"/>
              <w:pageBreakBefore w:val="0"/>
              <w:widowControl/>
              <w:suppressLineNumbers w:val="0"/>
              <w:kinsoku/>
              <w:wordWrap/>
              <w:overflowPunct/>
              <w:topLinePunct w:val="0"/>
              <w:autoSpaceDE/>
              <w:autoSpaceDN/>
              <w:bidi w:val="0"/>
              <w:adjustRightInd/>
              <w:snapToGrid w:val="0"/>
              <w:ind w:firstLineChars="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废水</w:t>
            </w:r>
          </w:p>
        </w:tc>
        <w:tc>
          <w:tcPr>
            <w:tcW w:w="698" w:type="pct"/>
            <w:vMerge w:val="restart"/>
            <w:tcBorders>
              <w:tl2br w:val="nil"/>
              <w:tr2bl w:val="nil"/>
            </w:tcBorders>
            <w:shd w:val="clear" w:color="auto" w:fill="auto"/>
            <w:vAlign w:val="center"/>
          </w:tcPr>
          <w:p w14:paraId="6EBCAFE2">
            <w:pPr>
              <w:keepNext w:val="0"/>
              <w:keepLines w:val="0"/>
              <w:pageBreakBefore w:val="0"/>
              <w:widowControl/>
              <w:suppressLineNumbers w:val="0"/>
              <w:kinsoku/>
              <w:wordWrap/>
              <w:overflowPunct/>
              <w:topLinePunct w:val="0"/>
              <w:autoSpaceDE/>
              <w:autoSpaceDN/>
              <w:bidi w:val="0"/>
              <w:adjustRightInd/>
              <w:snapToGrid w:val="0"/>
              <w:ind w:firstLineChars="0"/>
              <w:jc w:val="center"/>
              <w:textAlignment w:val="center"/>
              <w:rPr>
                <w:rFonts w:hint="eastAsia" w:ascii="宋体" w:hAnsi="宋体" w:eastAsia="宋体" w:cs="宋体"/>
                <w:i w:val="0"/>
                <w:iCs w:val="0"/>
                <w:color w:val="000000" w:themeColor="text1"/>
                <w:sz w:val="21"/>
                <w:szCs w:val="21"/>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W1</w:t>
            </w:r>
          </w:p>
        </w:tc>
        <w:tc>
          <w:tcPr>
            <w:tcW w:w="2154" w:type="pct"/>
            <w:tcBorders>
              <w:tl2br w:val="nil"/>
              <w:tr2bl w:val="nil"/>
            </w:tcBorders>
            <w:shd w:val="clear" w:color="auto" w:fill="auto"/>
            <w:vAlign w:val="center"/>
          </w:tcPr>
          <w:p w14:paraId="5AD8556E">
            <w:pPr>
              <w:keepNext w:val="0"/>
              <w:keepLines w:val="0"/>
              <w:pageBreakBefore w:val="0"/>
              <w:widowControl/>
              <w:suppressLineNumbers w:val="0"/>
              <w:kinsoku/>
              <w:wordWrap/>
              <w:overflowPunct/>
              <w:topLinePunct w:val="0"/>
              <w:autoSpaceDE/>
              <w:autoSpaceDN/>
              <w:bidi w:val="0"/>
              <w:adjustRightInd/>
              <w:snapToGrid w:val="0"/>
              <w:ind w:firstLineChars="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生活污水</w:t>
            </w:r>
          </w:p>
        </w:tc>
        <w:tc>
          <w:tcPr>
            <w:tcW w:w="1389" w:type="pct"/>
            <w:vMerge w:val="restart"/>
            <w:tcBorders>
              <w:tl2br w:val="nil"/>
              <w:tr2bl w:val="nil"/>
            </w:tcBorders>
            <w:shd w:val="clear" w:color="auto" w:fill="auto"/>
            <w:vAlign w:val="center"/>
          </w:tcPr>
          <w:p w14:paraId="7BE720F3">
            <w:pPr>
              <w:keepNext w:val="0"/>
              <w:keepLines w:val="0"/>
              <w:pageBreakBefore w:val="0"/>
              <w:widowControl/>
              <w:suppressLineNumbers w:val="0"/>
              <w:kinsoku/>
              <w:wordWrap/>
              <w:overflowPunct/>
              <w:topLinePunct w:val="0"/>
              <w:autoSpaceDE/>
              <w:autoSpaceDN/>
              <w:bidi w:val="0"/>
              <w:adjustRightInd/>
              <w:snapToGrid w:val="0"/>
              <w:ind w:firstLineChars="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COD、BOD</w:t>
            </w:r>
            <w:r>
              <w:rPr>
                <w:rFonts w:hint="eastAsia" w:ascii="宋体" w:hAnsi="宋体" w:eastAsia="宋体" w:cs="宋体"/>
                <w:i w:val="0"/>
                <w:iCs w:val="0"/>
                <w:color w:val="000000" w:themeColor="text1"/>
                <w:kern w:val="0"/>
                <w:sz w:val="21"/>
                <w:szCs w:val="21"/>
                <w:u w:val="none"/>
                <w:vertAlign w:val="subscript"/>
                <w:lang w:val="en-US" w:eastAsia="zh-CN" w:bidi="ar"/>
                <w14:textFill>
                  <w14:solidFill>
                    <w14:schemeClr w14:val="tx1"/>
                  </w14:solidFill>
                </w14:textFill>
              </w:rPr>
              <w:t>5</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、SS、氨氮、TP</w:t>
            </w:r>
          </w:p>
        </w:tc>
      </w:tr>
      <w:tr w14:paraId="479708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57" w:type="pct"/>
            <w:vMerge w:val="restart"/>
            <w:tcBorders>
              <w:tl2br w:val="nil"/>
              <w:tr2bl w:val="nil"/>
            </w:tcBorders>
            <w:shd w:val="clear" w:color="auto" w:fill="auto"/>
            <w:vAlign w:val="center"/>
          </w:tcPr>
          <w:p w14:paraId="07F6E064">
            <w:pPr>
              <w:keepNext w:val="0"/>
              <w:keepLines w:val="0"/>
              <w:pageBreakBefore w:val="0"/>
              <w:widowControl/>
              <w:suppressLineNumbers w:val="0"/>
              <w:kinsoku/>
              <w:wordWrap/>
              <w:overflowPunct/>
              <w:topLinePunct w:val="0"/>
              <w:autoSpaceDE/>
              <w:autoSpaceDN/>
              <w:bidi w:val="0"/>
              <w:adjustRightInd/>
              <w:snapToGrid w:val="0"/>
              <w:ind w:firstLineChars="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噪声</w:t>
            </w:r>
          </w:p>
        </w:tc>
        <w:tc>
          <w:tcPr>
            <w:tcW w:w="698" w:type="pct"/>
            <w:vMerge w:val="restart"/>
            <w:tcBorders>
              <w:tl2br w:val="nil"/>
              <w:tr2bl w:val="nil"/>
            </w:tcBorders>
            <w:shd w:val="clear" w:color="auto" w:fill="auto"/>
            <w:vAlign w:val="center"/>
          </w:tcPr>
          <w:p w14:paraId="7BC26D80">
            <w:pPr>
              <w:keepNext w:val="0"/>
              <w:keepLines w:val="0"/>
              <w:pageBreakBefore w:val="0"/>
              <w:widowControl/>
              <w:suppressLineNumbers w:val="0"/>
              <w:kinsoku/>
              <w:wordWrap/>
              <w:overflowPunct/>
              <w:topLinePunct w:val="0"/>
              <w:autoSpaceDE/>
              <w:autoSpaceDN/>
              <w:bidi w:val="0"/>
              <w:adjustRightInd/>
              <w:snapToGrid w:val="0"/>
              <w:ind w:firstLineChars="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N</w:t>
            </w:r>
          </w:p>
        </w:tc>
        <w:tc>
          <w:tcPr>
            <w:tcW w:w="2154" w:type="pct"/>
            <w:tcBorders>
              <w:tl2br w:val="nil"/>
              <w:tr2bl w:val="nil"/>
            </w:tcBorders>
            <w:shd w:val="clear" w:color="auto" w:fill="auto"/>
            <w:vAlign w:val="center"/>
          </w:tcPr>
          <w:p w14:paraId="3AE31190">
            <w:pPr>
              <w:keepNext w:val="0"/>
              <w:keepLines w:val="0"/>
              <w:pageBreakBefore w:val="0"/>
              <w:widowControl/>
              <w:suppressLineNumbers w:val="0"/>
              <w:kinsoku/>
              <w:wordWrap/>
              <w:overflowPunct/>
              <w:topLinePunct w:val="0"/>
              <w:autoSpaceDE/>
              <w:autoSpaceDN/>
              <w:bidi w:val="0"/>
              <w:adjustRightInd/>
              <w:snapToGrid w:val="0"/>
              <w:ind w:firstLineChars="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各类污水泵</w:t>
            </w:r>
          </w:p>
        </w:tc>
        <w:tc>
          <w:tcPr>
            <w:tcW w:w="1389" w:type="pct"/>
            <w:vMerge w:val="restart"/>
            <w:tcBorders>
              <w:tl2br w:val="nil"/>
              <w:tr2bl w:val="nil"/>
            </w:tcBorders>
            <w:shd w:val="clear" w:color="auto" w:fill="auto"/>
            <w:vAlign w:val="center"/>
          </w:tcPr>
          <w:p w14:paraId="11B0ABEA">
            <w:pPr>
              <w:keepNext w:val="0"/>
              <w:keepLines w:val="0"/>
              <w:pageBreakBefore w:val="0"/>
              <w:widowControl/>
              <w:suppressLineNumbers w:val="0"/>
              <w:kinsoku/>
              <w:wordWrap/>
              <w:overflowPunct/>
              <w:topLinePunct w:val="0"/>
              <w:autoSpaceDE/>
              <w:autoSpaceDN/>
              <w:bidi w:val="0"/>
              <w:adjustRightInd/>
              <w:snapToGrid w:val="0"/>
              <w:ind w:firstLineChars="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机械设备运行噪声</w:t>
            </w:r>
          </w:p>
        </w:tc>
      </w:tr>
      <w:tr w14:paraId="4B3D36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57" w:type="pct"/>
            <w:vMerge w:val="continue"/>
            <w:tcBorders>
              <w:tl2br w:val="nil"/>
              <w:tr2bl w:val="nil"/>
            </w:tcBorders>
            <w:shd w:val="clear" w:color="auto" w:fill="auto"/>
            <w:vAlign w:val="center"/>
          </w:tcPr>
          <w:p w14:paraId="19681C06">
            <w:pPr>
              <w:keepNext w:val="0"/>
              <w:keepLines w:val="0"/>
              <w:pageBreakBefore w:val="0"/>
              <w:widowControl/>
              <w:kinsoku/>
              <w:wordWrap/>
              <w:overflowPunct/>
              <w:topLinePunct w:val="0"/>
              <w:autoSpaceDE/>
              <w:autoSpaceDN/>
              <w:bidi w:val="0"/>
              <w:adjustRightInd/>
              <w:snapToGrid w:val="0"/>
              <w:ind w:firstLineChars="0"/>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698" w:type="pct"/>
            <w:vMerge w:val="continue"/>
            <w:tcBorders>
              <w:tl2br w:val="nil"/>
              <w:tr2bl w:val="nil"/>
            </w:tcBorders>
            <w:shd w:val="clear" w:color="auto" w:fill="auto"/>
            <w:vAlign w:val="center"/>
          </w:tcPr>
          <w:p w14:paraId="26F9A704">
            <w:pPr>
              <w:keepNext w:val="0"/>
              <w:keepLines w:val="0"/>
              <w:pageBreakBefore w:val="0"/>
              <w:widowControl/>
              <w:kinsoku/>
              <w:wordWrap/>
              <w:overflowPunct/>
              <w:topLinePunct w:val="0"/>
              <w:autoSpaceDE/>
              <w:autoSpaceDN/>
              <w:bidi w:val="0"/>
              <w:adjustRightInd/>
              <w:snapToGrid w:val="0"/>
              <w:ind w:firstLineChars="0"/>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2154" w:type="pct"/>
            <w:tcBorders>
              <w:tl2br w:val="nil"/>
              <w:tr2bl w:val="nil"/>
            </w:tcBorders>
            <w:shd w:val="clear" w:color="auto" w:fill="auto"/>
            <w:vAlign w:val="center"/>
          </w:tcPr>
          <w:p w14:paraId="073A0EC3">
            <w:pPr>
              <w:keepNext w:val="0"/>
              <w:keepLines w:val="0"/>
              <w:pageBreakBefore w:val="0"/>
              <w:widowControl/>
              <w:suppressLineNumbers w:val="0"/>
              <w:kinsoku/>
              <w:wordWrap/>
              <w:overflowPunct/>
              <w:topLinePunct w:val="0"/>
              <w:autoSpaceDE/>
              <w:autoSpaceDN/>
              <w:bidi w:val="0"/>
              <w:adjustRightInd/>
              <w:snapToGrid w:val="0"/>
              <w:ind w:firstLineChars="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各类污泥泵</w:t>
            </w:r>
          </w:p>
        </w:tc>
        <w:tc>
          <w:tcPr>
            <w:tcW w:w="1389" w:type="pct"/>
            <w:vMerge w:val="continue"/>
            <w:tcBorders>
              <w:tl2br w:val="nil"/>
              <w:tr2bl w:val="nil"/>
            </w:tcBorders>
            <w:shd w:val="clear" w:color="auto" w:fill="auto"/>
            <w:vAlign w:val="center"/>
          </w:tcPr>
          <w:p w14:paraId="382645E4">
            <w:pPr>
              <w:keepNext w:val="0"/>
              <w:keepLines w:val="0"/>
              <w:pageBreakBefore w:val="0"/>
              <w:widowControl/>
              <w:kinsoku/>
              <w:wordWrap/>
              <w:overflowPunct/>
              <w:topLinePunct w:val="0"/>
              <w:autoSpaceDE/>
              <w:autoSpaceDN/>
              <w:bidi w:val="0"/>
              <w:adjustRightInd/>
              <w:snapToGrid w:val="0"/>
              <w:ind w:firstLineChars="0"/>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14:paraId="7918F5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57" w:type="pct"/>
            <w:vMerge w:val="continue"/>
            <w:tcBorders>
              <w:tl2br w:val="nil"/>
              <w:tr2bl w:val="nil"/>
            </w:tcBorders>
            <w:shd w:val="clear" w:color="auto" w:fill="auto"/>
            <w:vAlign w:val="center"/>
          </w:tcPr>
          <w:p w14:paraId="7C875818">
            <w:pPr>
              <w:keepNext w:val="0"/>
              <w:keepLines w:val="0"/>
              <w:pageBreakBefore w:val="0"/>
              <w:widowControl/>
              <w:kinsoku/>
              <w:wordWrap/>
              <w:overflowPunct/>
              <w:topLinePunct w:val="0"/>
              <w:autoSpaceDE/>
              <w:autoSpaceDN/>
              <w:bidi w:val="0"/>
              <w:adjustRightInd/>
              <w:snapToGrid w:val="0"/>
              <w:ind w:firstLineChars="0"/>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698" w:type="pct"/>
            <w:vMerge w:val="continue"/>
            <w:tcBorders>
              <w:tl2br w:val="nil"/>
              <w:tr2bl w:val="nil"/>
            </w:tcBorders>
            <w:shd w:val="clear" w:color="auto" w:fill="auto"/>
            <w:vAlign w:val="center"/>
          </w:tcPr>
          <w:p w14:paraId="1DDF30B7">
            <w:pPr>
              <w:keepNext w:val="0"/>
              <w:keepLines w:val="0"/>
              <w:pageBreakBefore w:val="0"/>
              <w:widowControl/>
              <w:kinsoku/>
              <w:wordWrap/>
              <w:overflowPunct/>
              <w:topLinePunct w:val="0"/>
              <w:autoSpaceDE/>
              <w:autoSpaceDN/>
              <w:bidi w:val="0"/>
              <w:adjustRightInd/>
              <w:snapToGrid w:val="0"/>
              <w:ind w:firstLineChars="0"/>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2154" w:type="pct"/>
            <w:tcBorders>
              <w:tl2br w:val="nil"/>
              <w:tr2bl w:val="nil"/>
            </w:tcBorders>
            <w:shd w:val="clear" w:color="auto" w:fill="auto"/>
            <w:vAlign w:val="center"/>
          </w:tcPr>
          <w:p w14:paraId="2CEA042A">
            <w:pPr>
              <w:keepNext w:val="0"/>
              <w:keepLines w:val="0"/>
              <w:pageBreakBefore w:val="0"/>
              <w:widowControl/>
              <w:suppressLineNumbers w:val="0"/>
              <w:kinsoku/>
              <w:wordWrap/>
              <w:overflowPunct/>
              <w:topLinePunct w:val="0"/>
              <w:autoSpaceDE/>
              <w:autoSpaceDN/>
              <w:bidi w:val="0"/>
              <w:adjustRightInd/>
              <w:snapToGrid w:val="0"/>
              <w:ind w:firstLineChars="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各类加药泵</w:t>
            </w:r>
          </w:p>
        </w:tc>
        <w:tc>
          <w:tcPr>
            <w:tcW w:w="1389" w:type="pct"/>
            <w:vMerge w:val="continue"/>
            <w:tcBorders>
              <w:tl2br w:val="nil"/>
              <w:tr2bl w:val="nil"/>
            </w:tcBorders>
            <w:shd w:val="clear" w:color="auto" w:fill="auto"/>
            <w:vAlign w:val="center"/>
          </w:tcPr>
          <w:p w14:paraId="590588F6">
            <w:pPr>
              <w:keepNext w:val="0"/>
              <w:keepLines w:val="0"/>
              <w:pageBreakBefore w:val="0"/>
              <w:widowControl/>
              <w:kinsoku/>
              <w:wordWrap/>
              <w:overflowPunct/>
              <w:topLinePunct w:val="0"/>
              <w:autoSpaceDE/>
              <w:autoSpaceDN/>
              <w:bidi w:val="0"/>
              <w:adjustRightInd/>
              <w:snapToGrid w:val="0"/>
              <w:ind w:firstLineChars="0"/>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14:paraId="0A14A0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57" w:type="pct"/>
            <w:vMerge w:val="continue"/>
            <w:tcBorders>
              <w:tl2br w:val="nil"/>
              <w:tr2bl w:val="nil"/>
            </w:tcBorders>
            <w:shd w:val="clear" w:color="auto" w:fill="auto"/>
            <w:vAlign w:val="center"/>
          </w:tcPr>
          <w:p w14:paraId="28FC4024">
            <w:pPr>
              <w:keepNext w:val="0"/>
              <w:keepLines w:val="0"/>
              <w:pageBreakBefore w:val="0"/>
              <w:widowControl/>
              <w:kinsoku/>
              <w:wordWrap/>
              <w:overflowPunct/>
              <w:topLinePunct w:val="0"/>
              <w:autoSpaceDE/>
              <w:autoSpaceDN/>
              <w:bidi w:val="0"/>
              <w:adjustRightInd/>
              <w:snapToGrid w:val="0"/>
              <w:ind w:firstLineChars="0"/>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698" w:type="pct"/>
            <w:vMerge w:val="continue"/>
            <w:tcBorders>
              <w:tl2br w:val="nil"/>
              <w:tr2bl w:val="nil"/>
            </w:tcBorders>
            <w:shd w:val="clear" w:color="auto" w:fill="auto"/>
            <w:vAlign w:val="center"/>
          </w:tcPr>
          <w:p w14:paraId="1F6E515F">
            <w:pPr>
              <w:keepNext w:val="0"/>
              <w:keepLines w:val="0"/>
              <w:pageBreakBefore w:val="0"/>
              <w:widowControl/>
              <w:kinsoku/>
              <w:wordWrap/>
              <w:overflowPunct/>
              <w:topLinePunct w:val="0"/>
              <w:autoSpaceDE/>
              <w:autoSpaceDN/>
              <w:bidi w:val="0"/>
              <w:adjustRightInd/>
              <w:snapToGrid w:val="0"/>
              <w:ind w:firstLineChars="0"/>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2154" w:type="pct"/>
            <w:tcBorders>
              <w:tl2br w:val="nil"/>
              <w:tr2bl w:val="nil"/>
            </w:tcBorders>
            <w:shd w:val="clear" w:color="auto" w:fill="auto"/>
            <w:vAlign w:val="center"/>
          </w:tcPr>
          <w:p w14:paraId="43161D1F">
            <w:pPr>
              <w:keepNext w:val="0"/>
              <w:keepLines w:val="0"/>
              <w:pageBreakBefore w:val="0"/>
              <w:widowControl/>
              <w:suppressLineNumbers w:val="0"/>
              <w:kinsoku/>
              <w:wordWrap/>
              <w:overflowPunct/>
              <w:topLinePunct w:val="0"/>
              <w:autoSpaceDE/>
              <w:autoSpaceDN/>
              <w:bidi w:val="0"/>
              <w:adjustRightInd/>
              <w:snapToGrid w:val="0"/>
              <w:ind w:firstLineChars="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各类搅拌器</w:t>
            </w:r>
          </w:p>
        </w:tc>
        <w:tc>
          <w:tcPr>
            <w:tcW w:w="1389" w:type="pct"/>
            <w:vMerge w:val="continue"/>
            <w:tcBorders>
              <w:tl2br w:val="nil"/>
              <w:tr2bl w:val="nil"/>
            </w:tcBorders>
            <w:shd w:val="clear" w:color="auto" w:fill="auto"/>
            <w:vAlign w:val="center"/>
          </w:tcPr>
          <w:p w14:paraId="4E94DA8A">
            <w:pPr>
              <w:keepNext w:val="0"/>
              <w:keepLines w:val="0"/>
              <w:pageBreakBefore w:val="0"/>
              <w:widowControl/>
              <w:kinsoku/>
              <w:wordWrap/>
              <w:overflowPunct/>
              <w:topLinePunct w:val="0"/>
              <w:autoSpaceDE/>
              <w:autoSpaceDN/>
              <w:bidi w:val="0"/>
              <w:adjustRightInd/>
              <w:snapToGrid w:val="0"/>
              <w:ind w:firstLineChars="0"/>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14:paraId="1BC202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57" w:type="pct"/>
            <w:vMerge w:val="continue"/>
            <w:tcBorders>
              <w:tl2br w:val="nil"/>
              <w:tr2bl w:val="nil"/>
            </w:tcBorders>
            <w:shd w:val="clear" w:color="auto" w:fill="auto"/>
            <w:vAlign w:val="center"/>
          </w:tcPr>
          <w:p w14:paraId="04C0EB05">
            <w:pPr>
              <w:keepNext w:val="0"/>
              <w:keepLines w:val="0"/>
              <w:pageBreakBefore w:val="0"/>
              <w:widowControl/>
              <w:kinsoku/>
              <w:wordWrap/>
              <w:overflowPunct/>
              <w:topLinePunct w:val="0"/>
              <w:autoSpaceDE/>
              <w:autoSpaceDN/>
              <w:bidi w:val="0"/>
              <w:adjustRightInd/>
              <w:snapToGrid w:val="0"/>
              <w:ind w:firstLineChars="0"/>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698" w:type="pct"/>
            <w:vMerge w:val="continue"/>
            <w:tcBorders>
              <w:tl2br w:val="nil"/>
              <w:tr2bl w:val="nil"/>
            </w:tcBorders>
            <w:shd w:val="clear" w:color="auto" w:fill="auto"/>
            <w:vAlign w:val="center"/>
          </w:tcPr>
          <w:p w14:paraId="045D03F0">
            <w:pPr>
              <w:keepNext w:val="0"/>
              <w:keepLines w:val="0"/>
              <w:pageBreakBefore w:val="0"/>
              <w:widowControl/>
              <w:kinsoku/>
              <w:wordWrap/>
              <w:overflowPunct/>
              <w:topLinePunct w:val="0"/>
              <w:autoSpaceDE/>
              <w:autoSpaceDN/>
              <w:bidi w:val="0"/>
              <w:adjustRightInd/>
              <w:snapToGrid w:val="0"/>
              <w:ind w:firstLineChars="0"/>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2154" w:type="pct"/>
            <w:tcBorders>
              <w:tl2br w:val="nil"/>
              <w:tr2bl w:val="nil"/>
            </w:tcBorders>
            <w:shd w:val="clear" w:color="auto" w:fill="auto"/>
            <w:vAlign w:val="center"/>
          </w:tcPr>
          <w:p w14:paraId="7EFFBCB2">
            <w:pPr>
              <w:keepNext w:val="0"/>
              <w:keepLines w:val="0"/>
              <w:pageBreakBefore w:val="0"/>
              <w:widowControl/>
              <w:suppressLineNumbers w:val="0"/>
              <w:kinsoku/>
              <w:wordWrap/>
              <w:overflowPunct/>
              <w:topLinePunct w:val="0"/>
              <w:autoSpaceDE/>
              <w:autoSpaceDN/>
              <w:bidi w:val="0"/>
              <w:adjustRightInd/>
              <w:snapToGrid w:val="0"/>
              <w:ind w:firstLineChars="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各类鼓风机</w:t>
            </w:r>
          </w:p>
        </w:tc>
        <w:tc>
          <w:tcPr>
            <w:tcW w:w="1389" w:type="pct"/>
            <w:vMerge w:val="continue"/>
            <w:tcBorders>
              <w:tl2br w:val="nil"/>
              <w:tr2bl w:val="nil"/>
            </w:tcBorders>
            <w:shd w:val="clear" w:color="auto" w:fill="auto"/>
            <w:vAlign w:val="center"/>
          </w:tcPr>
          <w:p w14:paraId="78CB9B98">
            <w:pPr>
              <w:keepNext w:val="0"/>
              <w:keepLines w:val="0"/>
              <w:pageBreakBefore w:val="0"/>
              <w:widowControl/>
              <w:kinsoku/>
              <w:wordWrap/>
              <w:overflowPunct/>
              <w:topLinePunct w:val="0"/>
              <w:autoSpaceDE/>
              <w:autoSpaceDN/>
              <w:bidi w:val="0"/>
              <w:adjustRightInd/>
              <w:snapToGrid w:val="0"/>
              <w:ind w:firstLineChars="0"/>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14:paraId="6560E9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57" w:type="pct"/>
            <w:vMerge w:val="continue"/>
            <w:tcBorders>
              <w:tl2br w:val="nil"/>
              <w:tr2bl w:val="nil"/>
            </w:tcBorders>
            <w:shd w:val="clear" w:color="auto" w:fill="auto"/>
            <w:vAlign w:val="center"/>
          </w:tcPr>
          <w:p w14:paraId="28747364">
            <w:pPr>
              <w:keepNext w:val="0"/>
              <w:keepLines w:val="0"/>
              <w:pageBreakBefore w:val="0"/>
              <w:widowControl/>
              <w:kinsoku/>
              <w:wordWrap/>
              <w:overflowPunct/>
              <w:topLinePunct w:val="0"/>
              <w:autoSpaceDE/>
              <w:autoSpaceDN/>
              <w:bidi w:val="0"/>
              <w:adjustRightInd/>
              <w:snapToGrid w:val="0"/>
              <w:ind w:firstLineChars="0"/>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698" w:type="pct"/>
            <w:vMerge w:val="continue"/>
            <w:tcBorders>
              <w:tl2br w:val="nil"/>
              <w:tr2bl w:val="nil"/>
            </w:tcBorders>
            <w:shd w:val="clear" w:color="auto" w:fill="auto"/>
            <w:vAlign w:val="center"/>
          </w:tcPr>
          <w:p w14:paraId="53BD7CAF">
            <w:pPr>
              <w:keepNext w:val="0"/>
              <w:keepLines w:val="0"/>
              <w:pageBreakBefore w:val="0"/>
              <w:widowControl/>
              <w:kinsoku/>
              <w:wordWrap/>
              <w:overflowPunct/>
              <w:topLinePunct w:val="0"/>
              <w:autoSpaceDE/>
              <w:autoSpaceDN/>
              <w:bidi w:val="0"/>
              <w:adjustRightInd/>
              <w:snapToGrid w:val="0"/>
              <w:ind w:firstLineChars="0"/>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2154" w:type="pct"/>
            <w:tcBorders>
              <w:tl2br w:val="nil"/>
              <w:tr2bl w:val="nil"/>
            </w:tcBorders>
            <w:shd w:val="clear" w:color="auto" w:fill="auto"/>
            <w:vAlign w:val="center"/>
          </w:tcPr>
          <w:p w14:paraId="71F0E977">
            <w:pPr>
              <w:keepNext w:val="0"/>
              <w:keepLines w:val="0"/>
              <w:pageBreakBefore w:val="0"/>
              <w:widowControl/>
              <w:suppressLineNumbers w:val="0"/>
              <w:kinsoku/>
              <w:wordWrap/>
              <w:overflowPunct/>
              <w:topLinePunct w:val="0"/>
              <w:autoSpaceDE/>
              <w:autoSpaceDN/>
              <w:bidi w:val="0"/>
              <w:adjustRightInd/>
              <w:snapToGrid w:val="0"/>
              <w:ind w:firstLineChars="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生物除臭装置离心风机</w:t>
            </w:r>
          </w:p>
        </w:tc>
        <w:tc>
          <w:tcPr>
            <w:tcW w:w="1389" w:type="pct"/>
            <w:vMerge w:val="continue"/>
            <w:tcBorders>
              <w:tl2br w:val="nil"/>
              <w:tr2bl w:val="nil"/>
            </w:tcBorders>
            <w:shd w:val="clear" w:color="auto" w:fill="auto"/>
            <w:vAlign w:val="center"/>
          </w:tcPr>
          <w:p w14:paraId="1AC14B82">
            <w:pPr>
              <w:keepNext w:val="0"/>
              <w:keepLines w:val="0"/>
              <w:pageBreakBefore w:val="0"/>
              <w:widowControl/>
              <w:kinsoku/>
              <w:wordWrap/>
              <w:overflowPunct/>
              <w:topLinePunct w:val="0"/>
              <w:autoSpaceDE/>
              <w:autoSpaceDN/>
              <w:bidi w:val="0"/>
              <w:adjustRightInd/>
              <w:snapToGrid w:val="0"/>
              <w:ind w:firstLineChars="0"/>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14:paraId="736AFF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57" w:type="pct"/>
            <w:vMerge w:val="restart"/>
            <w:tcBorders>
              <w:tl2br w:val="nil"/>
              <w:tr2bl w:val="nil"/>
            </w:tcBorders>
            <w:shd w:val="clear" w:color="auto" w:fill="auto"/>
            <w:vAlign w:val="center"/>
          </w:tcPr>
          <w:p w14:paraId="087B9286">
            <w:pPr>
              <w:keepNext w:val="0"/>
              <w:keepLines w:val="0"/>
              <w:pageBreakBefore w:val="0"/>
              <w:widowControl/>
              <w:suppressLineNumbers w:val="0"/>
              <w:kinsoku/>
              <w:wordWrap/>
              <w:overflowPunct/>
              <w:topLinePunct w:val="0"/>
              <w:autoSpaceDE/>
              <w:autoSpaceDN/>
              <w:bidi w:val="0"/>
              <w:adjustRightInd/>
              <w:snapToGrid w:val="0"/>
              <w:ind w:firstLineChars="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固废</w:t>
            </w:r>
          </w:p>
        </w:tc>
        <w:tc>
          <w:tcPr>
            <w:tcW w:w="698" w:type="pct"/>
            <w:tcBorders>
              <w:tl2br w:val="nil"/>
              <w:tr2bl w:val="nil"/>
            </w:tcBorders>
            <w:shd w:val="clear" w:color="auto" w:fill="auto"/>
            <w:vAlign w:val="center"/>
          </w:tcPr>
          <w:p w14:paraId="7274C394">
            <w:pPr>
              <w:keepNext w:val="0"/>
              <w:keepLines w:val="0"/>
              <w:pageBreakBefore w:val="0"/>
              <w:widowControl/>
              <w:suppressLineNumbers w:val="0"/>
              <w:kinsoku/>
              <w:wordWrap/>
              <w:overflowPunct/>
              <w:topLinePunct w:val="0"/>
              <w:autoSpaceDE/>
              <w:autoSpaceDN/>
              <w:bidi w:val="0"/>
              <w:adjustRightInd/>
              <w:snapToGrid w:val="0"/>
              <w:ind w:firstLineChars="0"/>
              <w:jc w:val="center"/>
              <w:textAlignment w:val="center"/>
              <w:rPr>
                <w:rFonts w:hint="eastAsia" w:ascii="宋体" w:hAnsi="宋体" w:eastAsia="宋体" w:cs="宋体"/>
                <w:i w:val="0"/>
                <w:iCs w:val="0"/>
                <w:color w:val="000000" w:themeColor="text1"/>
                <w:sz w:val="21"/>
                <w:szCs w:val="21"/>
                <w:u w:val="none"/>
                <w:lang w:val="en-US"/>
                <w14:textFill>
                  <w14:solidFill>
                    <w14:schemeClr w14:val="tx1"/>
                  </w14:solidFill>
                </w14:textFill>
              </w:rPr>
            </w:pPr>
            <w:r>
              <w:rPr>
                <w:rStyle w:val="33"/>
                <w:rFonts w:hint="eastAsia" w:ascii="宋体" w:hAnsi="宋体" w:eastAsia="宋体" w:cs="宋体"/>
                <w:color w:val="000000" w:themeColor="text1"/>
                <w:sz w:val="21"/>
                <w:szCs w:val="21"/>
                <w:lang w:val="en-US" w:eastAsia="zh-CN" w:bidi="ar"/>
                <w14:textFill>
                  <w14:solidFill>
                    <w14:schemeClr w14:val="tx1"/>
                  </w14:solidFill>
                </w14:textFill>
              </w:rPr>
              <w:t>S1</w:t>
            </w:r>
          </w:p>
        </w:tc>
        <w:tc>
          <w:tcPr>
            <w:tcW w:w="2154" w:type="pct"/>
            <w:tcBorders>
              <w:tl2br w:val="nil"/>
              <w:tr2bl w:val="nil"/>
            </w:tcBorders>
            <w:shd w:val="clear" w:color="auto" w:fill="auto"/>
            <w:vAlign w:val="center"/>
          </w:tcPr>
          <w:p w14:paraId="38E7EE10">
            <w:pPr>
              <w:keepNext w:val="0"/>
              <w:keepLines w:val="0"/>
              <w:pageBreakBefore w:val="0"/>
              <w:widowControl/>
              <w:suppressLineNumbers w:val="0"/>
              <w:kinsoku/>
              <w:wordWrap/>
              <w:overflowPunct/>
              <w:topLinePunct w:val="0"/>
              <w:autoSpaceDE/>
              <w:autoSpaceDN/>
              <w:bidi w:val="0"/>
              <w:adjustRightInd/>
              <w:snapToGrid w:val="0"/>
              <w:ind w:firstLineChars="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格栅、沉砂池</w:t>
            </w:r>
          </w:p>
        </w:tc>
        <w:tc>
          <w:tcPr>
            <w:tcW w:w="1389" w:type="pct"/>
            <w:tcBorders>
              <w:tl2br w:val="nil"/>
              <w:tr2bl w:val="nil"/>
            </w:tcBorders>
            <w:shd w:val="clear" w:color="auto" w:fill="auto"/>
            <w:vAlign w:val="center"/>
          </w:tcPr>
          <w:p w14:paraId="55077ECF">
            <w:pPr>
              <w:keepNext w:val="0"/>
              <w:keepLines w:val="0"/>
              <w:pageBreakBefore w:val="0"/>
              <w:widowControl/>
              <w:suppressLineNumbers w:val="0"/>
              <w:kinsoku/>
              <w:wordWrap/>
              <w:overflowPunct/>
              <w:topLinePunct w:val="0"/>
              <w:autoSpaceDE/>
              <w:autoSpaceDN/>
              <w:bidi w:val="0"/>
              <w:adjustRightInd/>
              <w:snapToGrid w:val="0"/>
              <w:ind w:firstLineChars="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栅渣、沉砂</w:t>
            </w:r>
          </w:p>
        </w:tc>
      </w:tr>
      <w:tr w14:paraId="4196C8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57" w:type="pct"/>
            <w:vMerge w:val="continue"/>
            <w:tcBorders>
              <w:tl2br w:val="nil"/>
              <w:tr2bl w:val="nil"/>
            </w:tcBorders>
            <w:shd w:val="clear" w:color="auto" w:fill="auto"/>
            <w:vAlign w:val="center"/>
          </w:tcPr>
          <w:p w14:paraId="05BED5D5">
            <w:pPr>
              <w:keepNext w:val="0"/>
              <w:keepLines w:val="0"/>
              <w:pageBreakBefore w:val="0"/>
              <w:widowControl/>
              <w:kinsoku/>
              <w:wordWrap/>
              <w:overflowPunct/>
              <w:topLinePunct w:val="0"/>
              <w:autoSpaceDE/>
              <w:autoSpaceDN/>
              <w:bidi w:val="0"/>
              <w:adjustRightInd/>
              <w:snapToGrid w:val="0"/>
              <w:ind w:firstLineChars="0"/>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698" w:type="pct"/>
            <w:tcBorders>
              <w:tl2br w:val="nil"/>
              <w:tr2bl w:val="nil"/>
            </w:tcBorders>
            <w:shd w:val="clear" w:color="auto" w:fill="auto"/>
            <w:vAlign w:val="center"/>
          </w:tcPr>
          <w:p w14:paraId="1EAC7E53">
            <w:pPr>
              <w:keepNext w:val="0"/>
              <w:keepLines w:val="0"/>
              <w:pageBreakBefore w:val="0"/>
              <w:widowControl/>
              <w:suppressLineNumbers w:val="0"/>
              <w:kinsoku/>
              <w:wordWrap/>
              <w:overflowPunct/>
              <w:topLinePunct w:val="0"/>
              <w:autoSpaceDE/>
              <w:autoSpaceDN/>
              <w:bidi w:val="0"/>
              <w:adjustRightInd/>
              <w:snapToGrid w:val="0"/>
              <w:ind w:firstLineChars="0"/>
              <w:jc w:val="center"/>
              <w:textAlignment w:val="center"/>
              <w:rPr>
                <w:rFonts w:hint="eastAsia" w:ascii="宋体" w:hAnsi="宋体" w:eastAsia="宋体" w:cs="宋体"/>
                <w:i w:val="0"/>
                <w:iCs w:val="0"/>
                <w:color w:val="000000" w:themeColor="text1"/>
                <w:sz w:val="21"/>
                <w:szCs w:val="21"/>
                <w:u w:val="none"/>
                <w:lang w:val="en-US"/>
                <w14:textFill>
                  <w14:solidFill>
                    <w14:schemeClr w14:val="tx1"/>
                  </w14:solidFill>
                </w14:textFill>
              </w:rPr>
            </w:pPr>
            <w:r>
              <w:rPr>
                <w:rStyle w:val="33"/>
                <w:rFonts w:hint="eastAsia" w:ascii="宋体" w:hAnsi="宋体" w:eastAsia="宋体" w:cs="宋体"/>
                <w:color w:val="000000" w:themeColor="text1"/>
                <w:sz w:val="21"/>
                <w:szCs w:val="21"/>
                <w:lang w:val="en-US" w:eastAsia="zh-CN" w:bidi="ar"/>
                <w14:textFill>
                  <w14:solidFill>
                    <w14:schemeClr w14:val="tx1"/>
                  </w14:solidFill>
                </w14:textFill>
              </w:rPr>
              <w:t>S2</w:t>
            </w:r>
          </w:p>
        </w:tc>
        <w:tc>
          <w:tcPr>
            <w:tcW w:w="2154" w:type="pct"/>
            <w:tcBorders>
              <w:tl2br w:val="nil"/>
              <w:tr2bl w:val="nil"/>
            </w:tcBorders>
            <w:shd w:val="clear" w:color="auto" w:fill="auto"/>
            <w:vAlign w:val="center"/>
          </w:tcPr>
          <w:p w14:paraId="23061E67">
            <w:pPr>
              <w:keepNext w:val="0"/>
              <w:keepLines w:val="0"/>
              <w:pageBreakBefore w:val="0"/>
              <w:widowControl/>
              <w:suppressLineNumbers w:val="0"/>
              <w:kinsoku/>
              <w:wordWrap/>
              <w:overflowPunct/>
              <w:topLinePunct w:val="0"/>
              <w:autoSpaceDE/>
              <w:autoSpaceDN/>
              <w:bidi w:val="0"/>
              <w:adjustRightInd/>
              <w:snapToGrid w:val="0"/>
              <w:ind w:firstLineChars="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水解酸化、二沉池、高效沉淀池和反硝化深床滤池、</w:t>
            </w:r>
            <w:r>
              <w:rPr>
                <w:rFonts w:hint="eastAsia" w:ascii="宋体" w:hAnsi="宋体" w:eastAsia="宋体" w:cs="宋体"/>
                <w:color w:val="000000" w:themeColor="text1"/>
                <w:kern w:val="0"/>
                <w:sz w:val="21"/>
                <w:szCs w:val="21"/>
                <w:lang w:val="en-US" w:eastAsia="zh-CN" w:bidi="ar"/>
                <w14:textFill>
                  <w14:solidFill>
                    <w14:schemeClr w14:val="tx1"/>
                  </w14:solidFill>
                </w14:textFill>
              </w:rPr>
              <w:t>磁混凝除氟沉淀系统</w:t>
            </w:r>
          </w:p>
        </w:tc>
        <w:tc>
          <w:tcPr>
            <w:tcW w:w="1389" w:type="pct"/>
            <w:tcBorders>
              <w:tl2br w:val="nil"/>
              <w:tr2bl w:val="nil"/>
            </w:tcBorders>
            <w:shd w:val="clear" w:color="auto" w:fill="auto"/>
            <w:vAlign w:val="center"/>
          </w:tcPr>
          <w:p w14:paraId="7FA07666">
            <w:pPr>
              <w:keepNext w:val="0"/>
              <w:keepLines w:val="0"/>
              <w:pageBreakBefore w:val="0"/>
              <w:widowControl/>
              <w:suppressLineNumbers w:val="0"/>
              <w:kinsoku/>
              <w:wordWrap/>
              <w:overflowPunct/>
              <w:topLinePunct w:val="0"/>
              <w:autoSpaceDE/>
              <w:autoSpaceDN/>
              <w:bidi w:val="0"/>
              <w:adjustRightInd/>
              <w:snapToGrid w:val="0"/>
              <w:ind w:firstLineChars="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污泥</w:t>
            </w:r>
          </w:p>
        </w:tc>
      </w:tr>
      <w:tr w14:paraId="1E53E5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57" w:type="pct"/>
            <w:vMerge w:val="continue"/>
            <w:tcBorders>
              <w:tl2br w:val="nil"/>
              <w:tr2bl w:val="nil"/>
            </w:tcBorders>
            <w:shd w:val="clear" w:color="auto" w:fill="auto"/>
            <w:vAlign w:val="center"/>
          </w:tcPr>
          <w:p w14:paraId="58F7731A">
            <w:pPr>
              <w:keepNext w:val="0"/>
              <w:keepLines w:val="0"/>
              <w:pageBreakBefore w:val="0"/>
              <w:widowControl/>
              <w:kinsoku/>
              <w:wordWrap/>
              <w:overflowPunct/>
              <w:topLinePunct w:val="0"/>
              <w:autoSpaceDE/>
              <w:autoSpaceDN/>
              <w:bidi w:val="0"/>
              <w:adjustRightInd/>
              <w:snapToGrid w:val="0"/>
              <w:ind w:firstLineChars="0"/>
              <w:jc w:val="center"/>
              <w:rPr>
                <w:rFonts w:hint="eastAsia" w:ascii="宋体" w:hAnsi="宋体" w:eastAsia="宋体" w:cs="宋体"/>
                <w:i w:val="0"/>
                <w:iCs w:val="0"/>
                <w:color w:val="000000" w:themeColor="text1"/>
                <w:sz w:val="21"/>
                <w:szCs w:val="21"/>
                <w:u w:val="none"/>
                <w14:textFill>
                  <w14:solidFill>
                    <w14:schemeClr w14:val="tx1"/>
                  </w14:solidFill>
                </w14:textFill>
              </w:rPr>
            </w:pPr>
            <w:bookmarkStart w:id="28" w:name="_Toc6960"/>
          </w:p>
        </w:tc>
        <w:tc>
          <w:tcPr>
            <w:tcW w:w="698" w:type="pct"/>
            <w:tcBorders>
              <w:tl2br w:val="nil"/>
              <w:tr2bl w:val="nil"/>
            </w:tcBorders>
            <w:shd w:val="clear" w:color="auto" w:fill="auto"/>
            <w:vAlign w:val="center"/>
          </w:tcPr>
          <w:p w14:paraId="7AC2961B">
            <w:pPr>
              <w:keepNext w:val="0"/>
              <w:keepLines w:val="0"/>
              <w:pageBreakBefore w:val="0"/>
              <w:widowControl/>
              <w:suppressLineNumbers w:val="0"/>
              <w:kinsoku/>
              <w:wordWrap/>
              <w:overflowPunct/>
              <w:topLinePunct w:val="0"/>
              <w:autoSpaceDE/>
              <w:autoSpaceDN/>
              <w:bidi w:val="0"/>
              <w:adjustRightInd/>
              <w:snapToGrid w:val="0"/>
              <w:ind w:firstLineChars="0"/>
              <w:jc w:val="center"/>
              <w:textAlignment w:val="center"/>
              <w:rPr>
                <w:rStyle w:val="33"/>
                <w:rFonts w:hint="eastAsia" w:ascii="宋体" w:hAnsi="宋体" w:eastAsia="宋体" w:cs="宋体"/>
                <w:color w:val="000000" w:themeColor="text1"/>
                <w:sz w:val="21"/>
                <w:szCs w:val="21"/>
                <w:lang w:val="en-US" w:eastAsia="zh-CN" w:bidi="ar"/>
                <w14:textFill>
                  <w14:solidFill>
                    <w14:schemeClr w14:val="tx1"/>
                  </w14:solidFill>
                </w14:textFill>
              </w:rPr>
            </w:pPr>
            <w:r>
              <w:rPr>
                <w:rStyle w:val="33"/>
                <w:rFonts w:hint="eastAsia" w:ascii="宋体" w:hAnsi="宋体" w:eastAsia="宋体" w:cs="宋体"/>
                <w:color w:val="000000" w:themeColor="text1"/>
                <w:sz w:val="21"/>
                <w:szCs w:val="21"/>
                <w:lang w:val="en-US" w:eastAsia="zh-CN" w:bidi="ar"/>
                <w14:textFill>
                  <w14:solidFill>
                    <w14:schemeClr w14:val="tx1"/>
                  </w14:solidFill>
                </w14:textFill>
              </w:rPr>
              <w:t>S3</w:t>
            </w:r>
          </w:p>
        </w:tc>
        <w:tc>
          <w:tcPr>
            <w:tcW w:w="2154" w:type="pct"/>
            <w:tcBorders>
              <w:tl2br w:val="nil"/>
              <w:tr2bl w:val="nil"/>
            </w:tcBorders>
            <w:shd w:val="clear" w:color="auto" w:fill="auto"/>
            <w:vAlign w:val="center"/>
          </w:tcPr>
          <w:p w14:paraId="57A0CC7A">
            <w:pPr>
              <w:keepNext w:val="0"/>
              <w:keepLines w:val="0"/>
              <w:pageBreakBefore w:val="0"/>
              <w:widowControl/>
              <w:suppressLineNumbers w:val="0"/>
              <w:kinsoku/>
              <w:wordWrap/>
              <w:overflowPunct/>
              <w:topLinePunct w:val="0"/>
              <w:autoSpaceDE/>
              <w:autoSpaceDN/>
              <w:bidi w:val="0"/>
              <w:adjustRightInd/>
              <w:snapToGrid w:val="0"/>
              <w:ind w:firstLineChars="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设备养护</w:t>
            </w:r>
          </w:p>
        </w:tc>
        <w:tc>
          <w:tcPr>
            <w:tcW w:w="1389" w:type="pct"/>
            <w:tcBorders>
              <w:tl2br w:val="nil"/>
              <w:tr2bl w:val="nil"/>
            </w:tcBorders>
            <w:shd w:val="clear" w:color="auto" w:fill="auto"/>
            <w:vAlign w:val="center"/>
          </w:tcPr>
          <w:p w14:paraId="072D92BB">
            <w:pPr>
              <w:keepNext w:val="0"/>
              <w:keepLines w:val="0"/>
              <w:pageBreakBefore w:val="0"/>
              <w:widowControl/>
              <w:suppressLineNumbers w:val="0"/>
              <w:kinsoku/>
              <w:wordWrap/>
              <w:overflowPunct/>
              <w:topLinePunct w:val="0"/>
              <w:autoSpaceDE/>
              <w:autoSpaceDN/>
              <w:bidi w:val="0"/>
              <w:adjustRightInd/>
              <w:snapToGrid w:val="0"/>
              <w:ind w:firstLineChars="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废润滑油</w:t>
            </w:r>
          </w:p>
        </w:tc>
      </w:tr>
      <w:tr w14:paraId="6B1088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757" w:type="pct"/>
            <w:vMerge w:val="continue"/>
            <w:tcBorders>
              <w:tl2br w:val="nil"/>
              <w:tr2bl w:val="nil"/>
            </w:tcBorders>
            <w:shd w:val="clear" w:color="auto" w:fill="auto"/>
            <w:vAlign w:val="center"/>
          </w:tcPr>
          <w:p w14:paraId="3DBCDF20">
            <w:pPr>
              <w:keepNext w:val="0"/>
              <w:keepLines w:val="0"/>
              <w:pageBreakBefore w:val="0"/>
              <w:widowControl/>
              <w:kinsoku/>
              <w:wordWrap/>
              <w:overflowPunct/>
              <w:topLinePunct w:val="0"/>
              <w:autoSpaceDE/>
              <w:autoSpaceDN/>
              <w:bidi w:val="0"/>
              <w:adjustRightInd/>
              <w:snapToGrid w:val="0"/>
              <w:ind w:firstLineChars="0"/>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698" w:type="pct"/>
            <w:tcBorders>
              <w:tl2br w:val="nil"/>
              <w:tr2bl w:val="nil"/>
            </w:tcBorders>
            <w:shd w:val="clear" w:color="auto" w:fill="auto"/>
            <w:vAlign w:val="center"/>
          </w:tcPr>
          <w:p w14:paraId="1EF11075">
            <w:pPr>
              <w:keepNext w:val="0"/>
              <w:keepLines w:val="0"/>
              <w:pageBreakBefore w:val="0"/>
              <w:widowControl/>
              <w:suppressLineNumbers w:val="0"/>
              <w:kinsoku/>
              <w:wordWrap/>
              <w:overflowPunct/>
              <w:topLinePunct w:val="0"/>
              <w:autoSpaceDE/>
              <w:autoSpaceDN/>
              <w:bidi w:val="0"/>
              <w:adjustRightInd/>
              <w:snapToGrid w:val="0"/>
              <w:ind w:firstLineChars="0"/>
              <w:jc w:val="center"/>
              <w:textAlignment w:val="center"/>
              <w:rPr>
                <w:rStyle w:val="33"/>
                <w:rFonts w:hint="eastAsia" w:ascii="宋体" w:hAnsi="宋体" w:eastAsia="宋体" w:cs="宋体"/>
                <w:color w:val="000000" w:themeColor="text1"/>
                <w:sz w:val="21"/>
                <w:szCs w:val="21"/>
                <w:lang w:val="en-US" w:eastAsia="zh-CN" w:bidi="ar"/>
                <w14:textFill>
                  <w14:solidFill>
                    <w14:schemeClr w14:val="tx1"/>
                  </w14:solidFill>
                </w14:textFill>
              </w:rPr>
            </w:pPr>
            <w:r>
              <w:rPr>
                <w:rStyle w:val="33"/>
                <w:rFonts w:hint="eastAsia" w:ascii="宋体" w:hAnsi="宋体" w:eastAsia="宋体" w:cs="宋体"/>
                <w:color w:val="000000" w:themeColor="text1"/>
                <w:sz w:val="21"/>
                <w:szCs w:val="21"/>
                <w:lang w:val="en-US" w:eastAsia="zh-CN" w:bidi="ar"/>
                <w14:textFill>
                  <w14:solidFill>
                    <w14:schemeClr w14:val="tx1"/>
                  </w14:solidFill>
                </w14:textFill>
              </w:rPr>
              <w:t>S4</w:t>
            </w:r>
          </w:p>
        </w:tc>
        <w:tc>
          <w:tcPr>
            <w:tcW w:w="2154" w:type="pct"/>
            <w:tcBorders>
              <w:tl2br w:val="nil"/>
              <w:tr2bl w:val="nil"/>
            </w:tcBorders>
            <w:shd w:val="clear" w:color="auto" w:fill="auto"/>
            <w:vAlign w:val="center"/>
          </w:tcPr>
          <w:p w14:paraId="74003F42">
            <w:pPr>
              <w:keepNext w:val="0"/>
              <w:keepLines w:val="0"/>
              <w:pageBreakBefore w:val="0"/>
              <w:widowControl/>
              <w:suppressLineNumbers w:val="0"/>
              <w:kinsoku/>
              <w:wordWrap/>
              <w:overflowPunct/>
              <w:topLinePunct w:val="0"/>
              <w:autoSpaceDE/>
              <w:autoSpaceDN/>
              <w:bidi w:val="0"/>
              <w:adjustRightInd/>
              <w:snapToGrid w:val="0"/>
              <w:ind w:firstLineChars="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职工办公生活</w:t>
            </w:r>
          </w:p>
        </w:tc>
        <w:tc>
          <w:tcPr>
            <w:tcW w:w="1389" w:type="pct"/>
            <w:tcBorders>
              <w:tl2br w:val="nil"/>
              <w:tr2bl w:val="nil"/>
            </w:tcBorders>
            <w:shd w:val="clear" w:color="auto" w:fill="auto"/>
            <w:vAlign w:val="center"/>
          </w:tcPr>
          <w:p w14:paraId="6FE32780">
            <w:pPr>
              <w:keepNext w:val="0"/>
              <w:keepLines w:val="0"/>
              <w:pageBreakBefore w:val="0"/>
              <w:widowControl/>
              <w:suppressLineNumbers w:val="0"/>
              <w:kinsoku/>
              <w:wordWrap/>
              <w:overflowPunct/>
              <w:topLinePunct w:val="0"/>
              <w:autoSpaceDE/>
              <w:autoSpaceDN/>
              <w:bidi w:val="0"/>
              <w:adjustRightInd/>
              <w:snapToGrid w:val="0"/>
              <w:ind w:firstLineChars="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生活垃圾</w:t>
            </w:r>
          </w:p>
        </w:tc>
      </w:tr>
    </w:tbl>
    <w:p w14:paraId="276A304B">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1"/>
        <w:rPr>
          <w:sz w:val="32"/>
          <w:szCs w:val="32"/>
        </w:rPr>
      </w:pPr>
      <w:r>
        <w:rPr>
          <w:rFonts w:hint="eastAsia" w:ascii="宋体" w:hAnsi="宋体" w:eastAsia="宋体" w:cs="宋体"/>
          <w:b/>
          <w:bCs/>
          <w:color w:val="000000"/>
          <w:kern w:val="0"/>
          <w:sz w:val="32"/>
          <w:szCs w:val="32"/>
          <w:lang w:val="en-US" w:eastAsia="zh-CN" w:bidi="ar"/>
        </w:rPr>
        <w:t>3.7 项目变动情况</w:t>
      </w:r>
      <w:bookmarkEnd w:id="28"/>
    </w:p>
    <w:p w14:paraId="1C39C6EB">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cs="宋体"/>
          <w:color w:val="000000" w:themeColor="text1"/>
          <w:kern w:val="0"/>
          <w:sz w:val="24"/>
          <w:szCs w:val="24"/>
          <w:lang w:val="en-US" w:eastAsia="zh-CN" w:bidi="ar"/>
          <w14:textFill>
            <w14:solidFill>
              <w14:schemeClr w14:val="tx1"/>
            </w14:solidFill>
          </w14:textFill>
        </w:rPr>
      </w:pPr>
      <w:r>
        <w:rPr>
          <w:rFonts w:hint="eastAsia" w:ascii="宋体" w:hAnsi="宋体" w:cs="宋体"/>
          <w:color w:val="000000" w:themeColor="text1"/>
          <w:kern w:val="0"/>
          <w:sz w:val="24"/>
          <w:szCs w:val="24"/>
          <w:lang w:val="en-US" w:eastAsia="zh-CN" w:bidi="ar"/>
          <w14:textFill>
            <w14:solidFill>
              <w14:schemeClr w14:val="tx1"/>
            </w14:solidFill>
          </w14:textFill>
        </w:rPr>
        <w:t>通过以上各章节的梳理，项目发生的变化如下：</w:t>
      </w:r>
    </w:p>
    <w:p w14:paraId="2F211A9C">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default" w:ascii="宋体" w:hAnsi="宋体" w:cs="宋体"/>
          <w:color w:val="000000" w:themeColor="text1"/>
          <w:kern w:val="0"/>
          <w:sz w:val="24"/>
          <w:szCs w:val="24"/>
          <w:lang w:val="en-US" w:eastAsia="zh-CN" w:bidi="ar"/>
          <w14:textFill>
            <w14:solidFill>
              <w14:schemeClr w14:val="tx1"/>
            </w14:solidFill>
          </w14:textFill>
        </w:rPr>
      </w:pPr>
      <w:r>
        <w:rPr>
          <w:rFonts w:hint="eastAsia" w:ascii="宋体" w:hAnsi="宋体" w:cs="宋体"/>
          <w:color w:val="000000" w:themeColor="text1"/>
          <w:kern w:val="0"/>
          <w:sz w:val="24"/>
          <w:szCs w:val="24"/>
          <w:lang w:val="en-US" w:eastAsia="zh-CN" w:bidi="ar"/>
          <w14:textFill>
            <w14:solidFill>
              <w14:schemeClr w14:val="tx1"/>
            </w14:solidFill>
          </w14:textFill>
        </w:rPr>
        <w:t>（1）新增混凝除氟沉淀系统；</w:t>
      </w:r>
    </w:p>
    <w:p w14:paraId="24B329DD">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cs="宋体"/>
          <w:color w:val="000000" w:themeColor="text1"/>
          <w:kern w:val="0"/>
          <w:sz w:val="24"/>
          <w:szCs w:val="24"/>
          <w:lang w:val="en-US" w:eastAsia="zh-CN" w:bidi="ar"/>
          <w14:textFill>
            <w14:solidFill>
              <w14:schemeClr w14:val="tx1"/>
            </w14:solidFill>
          </w14:textFill>
        </w:rPr>
      </w:pPr>
      <w:r>
        <w:rPr>
          <w:rFonts w:hint="eastAsia" w:ascii="宋体" w:hAnsi="宋体" w:cs="宋体"/>
          <w:color w:val="000000" w:themeColor="text1"/>
          <w:kern w:val="0"/>
          <w:sz w:val="24"/>
          <w:szCs w:val="24"/>
          <w:lang w:val="en-US" w:eastAsia="zh-CN" w:bidi="ar"/>
          <w14:textFill>
            <w14:solidFill>
              <w14:schemeClr w14:val="tx1"/>
            </w14:solidFill>
          </w14:textFill>
        </w:rPr>
        <w:t>（2）臭气治理设施的处理风量由2.5万m</w:t>
      </w:r>
      <w:r>
        <w:rPr>
          <w:rFonts w:hint="eastAsia" w:ascii="宋体" w:hAnsi="宋体" w:cs="宋体"/>
          <w:color w:val="000000" w:themeColor="text1"/>
          <w:kern w:val="0"/>
          <w:sz w:val="24"/>
          <w:szCs w:val="24"/>
          <w:vertAlign w:val="superscript"/>
          <w:lang w:val="en-US" w:eastAsia="zh-CN" w:bidi="ar"/>
          <w14:textFill>
            <w14:solidFill>
              <w14:schemeClr w14:val="tx1"/>
            </w14:solidFill>
          </w14:textFill>
        </w:rPr>
        <w:t>3</w:t>
      </w:r>
      <w:r>
        <w:rPr>
          <w:rFonts w:hint="eastAsia" w:ascii="宋体" w:hAnsi="宋体" w:cs="宋体"/>
          <w:color w:val="000000" w:themeColor="text1"/>
          <w:kern w:val="0"/>
          <w:sz w:val="24"/>
          <w:szCs w:val="24"/>
          <w:lang w:val="en-US" w:eastAsia="zh-CN" w:bidi="ar"/>
          <w14:textFill>
            <w14:solidFill>
              <w14:schemeClr w14:val="tx1"/>
            </w14:solidFill>
          </w14:textFill>
        </w:rPr>
        <w:t>/h变化为1.5万m</w:t>
      </w:r>
      <w:r>
        <w:rPr>
          <w:rFonts w:hint="eastAsia" w:ascii="宋体" w:hAnsi="宋体" w:cs="宋体"/>
          <w:color w:val="000000" w:themeColor="text1"/>
          <w:kern w:val="0"/>
          <w:sz w:val="24"/>
          <w:szCs w:val="24"/>
          <w:vertAlign w:val="superscript"/>
          <w:lang w:val="en-US" w:eastAsia="zh-CN" w:bidi="ar"/>
          <w14:textFill>
            <w14:solidFill>
              <w14:schemeClr w14:val="tx1"/>
            </w14:solidFill>
          </w14:textFill>
        </w:rPr>
        <w:t>3</w:t>
      </w:r>
      <w:r>
        <w:rPr>
          <w:rFonts w:hint="eastAsia" w:ascii="宋体" w:hAnsi="宋体" w:cs="宋体"/>
          <w:color w:val="000000" w:themeColor="text1"/>
          <w:kern w:val="0"/>
          <w:sz w:val="24"/>
          <w:szCs w:val="24"/>
          <w:lang w:val="en-US" w:eastAsia="zh-CN" w:bidi="ar"/>
          <w14:textFill>
            <w14:solidFill>
              <w14:schemeClr w14:val="tx1"/>
            </w14:solidFill>
          </w14:textFill>
        </w:rPr>
        <w:t>/h，其说明见附件6。</w:t>
      </w:r>
    </w:p>
    <w:p w14:paraId="6AC735F5">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cs="宋体"/>
          <w:color w:val="000000" w:themeColor="text1"/>
          <w:kern w:val="0"/>
          <w:sz w:val="24"/>
          <w:szCs w:val="24"/>
          <w:lang w:val="en-US" w:eastAsia="zh-CN" w:bidi="ar"/>
          <w14:textFill>
            <w14:solidFill>
              <w14:schemeClr w14:val="tx1"/>
            </w14:solidFill>
          </w14:textFill>
        </w:rPr>
        <w:sectPr>
          <w:pgSz w:w="11906" w:h="16838"/>
          <w:pgMar w:top="1440" w:right="1800" w:bottom="1440" w:left="1800" w:header="850" w:footer="1020" w:gutter="0"/>
          <w:pgBorders w:offsetFrom="page">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cs="宋体"/>
          <w:color w:val="000000" w:themeColor="text1"/>
          <w:kern w:val="0"/>
          <w:sz w:val="24"/>
          <w:szCs w:val="24"/>
          <w:lang w:val="en-US" w:eastAsia="zh-CN" w:bidi="ar"/>
          <w14:textFill>
            <w14:solidFill>
              <w14:schemeClr w14:val="tx1"/>
            </w14:solidFill>
          </w14:textFill>
        </w:rPr>
        <w:t>（3）对比《关于印发淀粉等五个行业建设项目重大变动清单的通知》，环办环评函〔2019〕934号文要求水处理行业重大变更清单，梳理如下：</w:t>
      </w:r>
    </w:p>
    <w:p w14:paraId="3683EEFA">
      <w:pPr>
        <w:keepNext w:val="0"/>
        <w:keepLines w:val="0"/>
        <w:widowControl/>
        <w:suppressLineNumbers w:val="0"/>
        <w:jc w:val="center"/>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表3.7-1  建设项目变动情况一览表</w:t>
      </w:r>
    </w:p>
    <w:tbl>
      <w:tblPr>
        <w:tblStyle w:val="2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986"/>
        <w:gridCol w:w="5628"/>
        <w:gridCol w:w="3359"/>
        <w:gridCol w:w="2446"/>
        <w:gridCol w:w="1215"/>
      </w:tblGrid>
      <w:tr w14:paraId="568752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14:paraId="6793C98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序号</w:t>
            </w:r>
          </w:p>
        </w:tc>
        <w:tc>
          <w:tcPr>
            <w:tcW w:w="6611" w:type="dxa"/>
            <w:gridSpan w:val="2"/>
            <w:tcBorders>
              <w:tl2br w:val="nil"/>
              <w:tr2bl w:val="nil"/>
            </w:tcBorders>
            <w:vAlign w:val="center"/>
          </w:tcPr>
          <w:p w14:paraId="55AE2398">
            <w:pPr>
              <w:keepNext w:val="0"/>
              <w:keepLines w:val="0"/>
              <w:widowControl/>
              <w:suppressLineNumbers w:val="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color w:val="000000"/>
                <w:kern w:val="0"/>
                <w:sz w:val="21"/>
                <w:szCs w:val="21"/>
                <w:lang w:val="en-US" w:eastAsia="zh-CN" w:bidi="ar"/>
              </w:rPr>
              <w:t>水处理建设项目重大变动清单内容</w:t>
            </w:r>
          </w:p>
        </w:tc>
        <w:tc>
          <w:tcPr>
            <w:tcW w:w="3359" w:type="dxa"/>
            <w:tcBorders>
              <w:tl2br w:val="nil"/>
              <w:tr2bl w:val="nil"/>
            </w:tcBorders>
            <w:vAlign w:val="center"/>
          </w:tcPr>
          <w:p w14:paraId="7E0E494E">
            <w:pPr>
              <w:keepNext w:val="0"/>
              <w:keepLines w:val="0"/>
              <w:widowControl/>
              <w:suppressLineNumbers w:val="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color w:val="000000"/>
                <w:kern w:val="0"/>
                <w:sz w:val="21"/>
                <w:szCs w:val="21"/>
                <w:lang w:val="en-US" w:eastAsia="zh-CN" w:bidi="ar"/>
              </w:rPr>
              <w:t>实际变化情况</w:t>
            </w:r>
          </w:p>
        </w:tc>
        <w:tc>
          <w:tcPr>
            <w:tcW w:w="2446" w:type="dxa"/>
            <w:tcBorders>
              <w:tl2br w:val="nil"/>
              <w:tr2bl w:val="nil"/>
            </w:tcBorders>
            <w:vAlign w:val="center"/>
          </w:tcPr>
          <w:p w14:paraId="5BDF8BD4">
            <w:pPr>
              <w:keepNext w:val="0"/>
              <w:keepLines w:val="0"/>
              <w:widowControl/>
              <w:suppressLineNumbers w:val="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color w:val="000000"/>
                <w:kern w:val="0"/>
                <w:sz w:val="21"/>
                <w:szCs w:val="21"/>
                <w:lang w:val="en-US" w:eastAsia="zh-CN" w:bidi="ar"/>
              </w:rPr>
              <w:t>变化原因</w:t>
            </w:r>
          </w:p>
        </w:tc>
        <w:tc>
          <w:tcPr>
            <w:tcW w:w="0" w:type="auto"/>
            <w:tcBorders>
              <w:tl2br w:val="nil"/>
              <w:tr2bl w:val="nil"/>
            </w:tcBorders>
            <w:vAlign w:val="center"/>
          </w:tcPr>
          <w:p w14:paraId="3724B45E">
            <w:pPr>
              <w:keepNext w:val="0"/>
              <w:keepLines w:val="0"/>
              <w:widowControl/>
              <w:suppressLineNumbers w:val="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color w:val="000000"/>
                <w:kern w:val="0"/>
                <w:sz w:val="21"/>
                <w:szCs w:val="21"/>
                <w:lang w:val="en-US" w:eastAsia="zh-CN" w:bidi="ar"/>
              </w:rPr>
              <w:t>是否属于重大变更</w:t>
            </w:r>
          </w:p>
        </w:tc>
      </w:tr>
      <w:tr w14:paraId="291FEB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14:paraId="41797179">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c>
          <w:tcPr>
            <w:tcW w:w="0" w:type="auto"/>
            <w:tcBorders>
              <w:tl2br w:val="nil"/>
              <w:tr2bl w:val="nil"/>
            </w:tcBorders>
            <w:vAlign w:val="center"/>
          </w:tcPr>
          <w:p w14:paraId="52FD5568">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规模</w:t>
            </w:r>
          </w:p>
        </w:tc>
        <w:tc>
          <w:tcPr>
            <w:tcW w:w="5628" w:type="dxa"/>
            <w:tcBorders>
              <w:tl2br w:val="nil"/>
              <w:tr2bl w:val="nil"/>
            </w:tcBorders>
            <w:vAlign w:val="center"/>
          </w:tcPr>
          <w:p w14:paraId="550D0E0C">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污水设计日处理能力增加30%及以上</w:t>
            </w:r>
          </w:p>
        </w:tc>
        <w:tc>
          <w:tcPr>
            <w:tcW w:w="3359" w:type="dxa"/>
            <w:tcBorders>
              <w:tl2br w:val="nil"/>
              <w:tr2bl w:val="nil"/>
            </w:tcBorders>
            <w:vAlign w:val="center"/>
          </w:tcPr>
          <w:p w14:paraId="6AC18C4B">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一期二阶段建设规模为5000t/a，与环评一致</w:t>
            </w:r>
          </w:p>
        </w:tc>
        <w:tc>
          <w:tcPr>
            <w:tcW w:w="2446" w:type="dxa"/>
            <w:tcBorders>
              <w:tl2br w:val="nil"/>
              <w:tr2bl w:val="nil"/>
            </w:tcBorders>
            <w:vAlign w:val="center"/>
          </w:tcPr>
          <w:p w14:paraId="44BE930A">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无</w:t>
            </w:r>
          </w:p>
        </w:tc>
        <w:tc>
          <w:tcPr>
            <w:tcW w:w="0" w:type="auto"/>
            <w:tcBorders>
              <w:tl2br w:val="nil"/>
              <w:tr2bl w:val="nil"/>
            </w:tcBorders>
            <w:vAlign w:val="center"/>
          </w:tcPr>
          <w:p w14:paraId="7267E7A3">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否</w:t>
            </w:r>
          </w:p>
        </w:tc>
      </w:tr>
      <w:tr w14:paraId="052544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14:paraId="2E6AB4E9">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w:t>
            </w:r>
          </w:p>
        </w:tc>
        <w:tc>
          <w:tcPr>
            <w:tcW w:w="0" w:type="auto"/>
            <w:tcBorders>
              <w:tl2br w:val="nil"/>
              <w:tr2bl w:val="nil"/>
            </w:tcBorders>
            <w:vAlign w:val="center"/>
          </w:tcPr>
          <w:p w14:paraId="0A2AFD6D">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建设地点</w:t>
            </w:r>
          </w:p>
        </w:tc>
        <w:tc>
          <w:tcPr>
            <w:tcW w:w="5628" w:type="dxa"/>
            <w:tcBorders>
              <w:tl2br w:val="nil"/>
              <w:tr2bl w:val="nil"/>
            </w:tcBorders>
            <w:vAlign w:val="center"/>
          </w:tcPr>
          <w:p w14:paraId="1154D1BD">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项目重新选址；在原厂址附近调整（包括总平面布置变化）导致大气环境防护距离内新增环境敏感点</w:t>
            </w:r>
          </w:p>
        </w:tc>
        <w:tc>
          <w:tcPr>
            <w:tcW w:w="3359" w:type="dxa"/>
            <w:tcBorders>
              <w:tl2br w:val="nil"/>
              <w:tr2bl w:val="nil"/>
            </w:tcBorders>
            <w:vAlign w:val="center"/>
          </w:tcPr>
          <w:p w14:paraId="3BFF0E88">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建设地点跟环评一致，没有变化</w:t>
            </w:r>
          </w:p>
        </w:tc>
        <w:tc>
          <w:tcPr>
            <w:tcW w:w="2446" w:type="dxa"/>
            <w:tcBorders>
              <w:tl2br w:val="nil"/>
              <w:tr2bl w:val="nil"/>
            </w:tcBorders>
            <w:vAlign w:val="center"/>
          </w:tcPr>
          <w:p w14:paraId="78A53830">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无</w:t>
            </w:r>
          </w:p>
        </w:tc>
        <w:tc>
          <w:tcPr>
            <w:tcW w:w="0" w:type="auto"/>
            <w:tcBorders>
              <w:tl2br w:val="nil"/>
              <w:tr2bl w:val="nil"/>
            </w:tcBorders>
            <w:vAlign w:val="center"/>
          </w:tcPr>
          <w:p w14:paraId="3EE733BB">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否</w:t>
            </w:r>
          </w:p>
        </w:tc>
      </w:tr>
      <w:tr w14:paraId="6FD4CE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14:paraId="019029AF">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w:t>
            </w:r>
          </w:p>
        </w:tc>
        <w:tc>
          <w:tcPr>
            <w:tcW w:w="0" w:type="auto"/>
            <w:tcBorders>
              <w:tl2br w:val="nil"/>
              <w:tr2bl w:val="nil"/>
            </w:tcBorders>
            <w:vAlign w:val="center"/>
          </w:tcPr>
          <w:p w14:paraId="454123D0">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生产工艺</w:t>
            </w:r>
          </w:p>
        </w:tc>
        <w:tc>
          <w:tcPr>
            <w:tcW w:w="5628" w:type="dxa"/>
            <w:tcBorders>
              <w:tl2br w:val="nil"/>
              <w:tr2bl w:val="nil"/>
            </w:tcBorders>
            <w:vAlign w:val="center"/>
          </w:tcPr>
          <w:p w14:paraId="3E1FD3D1">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废水处理工艺变化或进水水质、水量变化，导致污染物项目或污染物排放量增加</w:t>
            </w:r>
          </w:p>
        </w:tc>
        <w:tc>
          <w:tcPr>
            <w:tcW w:w="3359" w:type="dxa"/>
            <w:tcBorders>
              <w:tl2br w:val="nil"/>
              <w:tr2bl w:val="nil"/>
            </w:tcBorders>
            <w:vAlign w:val="center"/>
          </w:tcPr>
          <w:p w14:paraId="287FAC6B">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新增混凝除氟沉淀工艺</w:t>
            </w:r>
          </w:p>
        </w:tc>
        <w:tc>
          <w:tcPr>
            <w:tcW w:w="2446" w:type="dxa"/>
            <w:tcBorders>
              <w:tl2br w:val="nil"/>
              <w:tr2bl w:val="nil"/>
            </w:tcBorders>
            <w:vAlign w:val="center"/>
          </w:tcPr>
          <w:p w14:paraId="5B236B98">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工艺升级</w:t>
            </w:r>
          </w:p>
        </w:tc>
        <w:tc>
          <w:tcPr>
            <w:tcW w:w="0" w:type="auto"/>
            <w:tcBorders>
              <w:tl2br w:val="nil"/>
              <w:tr2bl w:val="nil"/>
            </w:tcBorders>
            <w:vAlign w:val="center"/>
          </w:tcPr>
          <w:p w14:paraId="3DD055A2">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否</w:t>
            </w:r>
          </w:p>
        </w:tc>
      </w:tr>
      <w:tr w14:paraId="058C86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14:paraId="3FC398F4">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w:t>
            </w:r>
          </w:p>
        </w:tc>
        <w:tc>
          <w:tcPr>
            <w:tcW w:w="0" w:type="auto"/>
            <w:vMerge w:val="restart"/>
            <w:tcBorders>
              <w:tl2br w:val="nil"/>
              <w:tr2bl w:val="nil"/>
            </w:tcBorders>
            <w:vAlign w:val="center"/>
          </w:tcPr>
          <w:p w14:paraId="479634EA">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环境保护措施</w:t>
            </w:r>
          </w:p>
        </w:tc>
        <w:tc>
          <w:tcPr>
            <w:tcW w:w="5628" w:type="dxa"/>
            <w:tcBorders>
              <w:tl2br w:val="nil"/>
              <w:tr2bl w:val="nil"/>
            </w:tcBorders>
            <w:vAlign w:val="center"/>
          </w:tcPr>
          <w:p w14:paraId="52DA383B">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新增废水排放口；废水排放去向由间接排放改为直接排放；直接排放口位置变化导致不利环境影响加重</w:t>
            </w:r>
          </w:p>
        </w:tc>
        <w:tc>
          <w:tcPr>
            <w:tcW w:w="3359" w:type="dxa"/>
            <w:tcBorders>
              <w:tl2br w:val="nil"/>
              <w:tr2bl w:val="nil"/>
            </w:tcBorders>
            <w:vAlign w:val="center"/>
          </w:tcPr>
          <w:p w14:paraId="756524B9">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无变动</w:t>
            </w:r>
          </w:p>
        </w:tc>
        <w:tc>
          <w:tcPr>
            <w:tcW w:w="2446" w:type="dxa"/>
            <w:tcBorders>
              <w:tl2br w:val="nil"/>
              <w:tr2bl w:val="nil"/>
            </w:tcBorders>
            <w:vAlign w:val="center"/>
          </w:tcPr>
          <w:p w14:paraId="3BBD0751">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无</w:t>
            </w:r>
          </w:p>
        </w:tc>
        <w:tc>
          <w:tcPr>
            <w:tcW w:w="0" w:type="auto"/>
            <w:tcBorders>
              <w:tl2br w:val="nil"/>
              <w:tr2bl w:val="nil"/>
            </w:tcBorders>
            <w:vAlign w:val="center"/>
          </w:tcPr>
          <w:p w14:paraId="2C00A35C">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否</w:t>
            </w:r>
          </w:p>
        </w:tc>
      </w:tr>
      <w:tr w14:paraId="731CC6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14:paraId="2C932E45">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w:t>
            </w:r>
          </w:p>
        </w:tc>
        <w:tc>
          <w:tcPr>
            <w:tcW w:w="0" w:type="auto"/>
            <w:vMerge w:val="continue"/>
            <w:tcBorders>
              <w:tl2br w:val="nil"/>
              <w:tr2bl w:val="nil"/>
            </w:tcBorders>
            <w:vAlign w:val="center"/>
          </w:tcPr>
          <w:p w14:paraId="6BD5ECF4">
            <w:pPr>
              <w:keepNext w:val="0"/>
              <w:keepLines w:val="0"/>
              <w:widowControl/>
              <w:suppressLineNumbers w:val="0"/>
              <w:jc w:val="center"/>
              <w:rPr>
                <w:rFonts w:hint="eastAsia" w:ascii="宋体" w:hAnsi="宋体" w:eastAsia="宋体" w:cs="宋体"/>
                <w:color w:val="000000"/>
                <w:kern w:val="0"/>
                <w:sz w:val="21"/>
                <w:szCs w:val="21"/>
                <w:lang w:val="en-US" w:eastAsia="zh-CN" w:bidi="ar"/>
              </w:rPr>
            </w:pPr>
          </w:p>
        </w:tc>
        <w:tc>
          <w:tcPr>
            <w:tcW w:w="5628" w:type="dxa"/>
            <w:tcBorders>
              <w:tl2br w:val="nil"/>
              <w:tr2bl w:val="nil"/>
            </w:tcBorders>
            <w:vAlign w:val="center"/>
          </w:tcPr>
          <w:p w14:paraId="16AA8C7B">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废气处理设施变化导致污染物排放量增加（废气无组织排放改为有组织排放的除外）；排气筒高度降低10%及以上</w:t>
            </w:r>
          </w:p>
        </w:tc>
        <w:tc>
          <w:tcPr>
            <w:tcW w:w="3359" w:type="dxa"/>
            <w:tcBorders>
              <w:tl2br w:val="nil"/>
              <w:tr2bl w:val="nil"/>
            </w:tcBorders>
            <w:vAlign w:val="center"/>
          </w:tcPr>
          <w:p w14:paraId="2B49E370">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无变动</w:t>
            </w:r>
          </w:p>
        </w:tc>
        <w:tc>
          <w:tcPr>
            <w:tcW w:w="2446" w:type="dxa"/>
            <w:tcBorders>
              <w:tl2br w:val="nil"/>
              <w:tr2bl w:val="nil"/>
            </w:tcBorders>
            <w:vAlign w:val="center"/>
          </w:tcPr>
          <w:p w14:paraId="0A6083B5">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无</w:t>
            </w:r>
          </w:p>
        </w:tc>
        <w:tc>
          <w:tcPr>
            <w:tcW w:w="0" w:type="auto"/>
            <w:tcBorders>
              <w:tl2br w:val="nil"/>
              <w:tr2bl w:val="nil"/>
            </w:tcBorders>
            <w:vAlign w:val="center"/>
          </w:tcPr>
          <w:p w14:paraId="17609F7F">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否</w:t>
            </w:r>
          </w:p>
        </w:tc>
      </w:tr>
      <w:tr w14:paraId="06E878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14:paraId="0FE4AE92">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w:t>
            </w:r>
          </w:p>
        </w:tc>
        <w:tc>
          <w:tcPr>
            <w:tcW w:w="0" w:type="auto"/>
            <w:vMerge w:val="continue"/>
            <w:tcBorders>
              <w:tl2br w:val="nil"/>
              <w:tr2bl w:val="nil"/>
            </w:tcBorders>
            <w:vAlign w:val="center"/>
          </w:tcPr>
          <w:p w14:paraId="57E9DBB8">
            <w:pPr>
              <w:keepNext w:val="0"/>
              <w:keepLines w:val="0"/>
              <w:widowControl/>
              <w:suppressLineNumbers w:val="0"/>
              <w:jc w:val="center"/>
              <w:rPr>
                <w:rFonts w:hint="eastAsia" w:ascii="宋体" w:hAnsi="宋体" w:eastAsia="宋体" w:cs="宋体"/>
                <w:color w:val="000000"/>
                <w:kern w:val="0"/>
                <w:sz w:val="21"/>
                <w:szCs w:val="21"/>
                <w:lang w:val="en-US" w:eastAsia="zh-CN" w:bidi="ar"/>
              </w:rPr>
            </w:pPr>
          </w:p>
        </w:tc>
        <w:tc>
          <w:tcPr>
            <w:tcW w:w="5628" w:type="dxa"/>
            <w:tcBorders>
              <w:tl2br w:val="nil"/>
              <w:tr2bl w:val="nil"/>
            </w:tcBorders>
            <w:vAlign w:val="center"/>
          </w:tcPr>
          <w:p w14:paraId="5ABFC841">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污泥产生量增加且自行处置能力不足，或污泥处置方式由外委改为自行处置，或自行处置方式变化，导致不利环境影响加重</w:t>
            </w:r>
          </w:p>
        </w:tc>
        <w:tc>
          <w:tcPr>
            <w:tcW w:w="3359" w:type="dxa"/>
            <w:tcBorders>
              <w:tl2br w:val="nil"/>
              <w:tr2bl w:val="nil"/>
            </w:tcBorders>
            <w:vAlign w:val="center"/>
          </w:tcPr>
          <w:p w14:paraId="64B2410E">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运营期内产生的污泥为一般固废委托和县第一污水处理厂处理干化；</w:t>
            </w:r>
          </w:p>
        </w:tc>
        <w:tc>
          <w:tcPr>
            <w:tcW w:w="2446" w:type="dxa"/>
            <w:tcBorders>
              <w:tl2br w:val="nil"/>
              <w:tr2bl w:val="nil"/>
            </w:tcBorders>
            <w:vAlign w:val="center"/>
          </w:tcPr>
          <w:p w14:paraId="3E00D0A5">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无</w:t>
            </w:r>
          </w:p>
        </w:tc>
        <w:tc>
          <w:tcPr>
            <w:tcW w:w="0" w:type="auto"/>
            <w:tcBorders>
              <w:tl2br w:val="nil"/>
              <w:tr2bl w:val="nil"/>
            </w:tcBorders>
            <w:vAlign w:val="center"/>
          </w:tcPr>
          <w:p w14:paraId="2E710C12">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否</w:t>
            </w:r>
          </w:p>
        </w:tc>
      </w:tr>
      <w:tr w14:paraId="04A9D8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14:paraId="348AB3B3">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7</w:t>
            </w:r>
          </w:p>
        </w:tc>
        <w:tc>
          <w:tcPr>
            <w:tcW w:w="0" w:type="auto"/>
            <w:tcBorders>
              <w:tl2br w:val="nil"/>
              <w:tr2bl w:val="nil"/>
            </w:tcBorders>
            <w:vAlign w:val="center"/>
          </w:tcPr>
          <w:p w14:paraId="761FB2F0">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其他</w:t>
            </w:r>
          </w:p>
        </w:tc>
        <w:tc>
          <w:tcPr>
            <w:tcW w:w="5628" w:type="dxa"/>
            <w:tcBorders>
              <w:tl2br w:val="nil"/>
              <w:tr2bl w:val="nil"/>
            </w:tcBorders>
            <w:vAlign w:val="center"/>
          </w:tcPr>
          <w:p w14:paraId="732A18E5">
            <w:pPr>
              <w:keepNext w:val="0"/>
              <w:keepLines w:val="0"/>
              <w:widowControl/>
              <w:suppressLineNumbers w:val="0"/>
              <w:jc w:val="center"/>
              <w:rPr>
                <w:rFonts w:hint="eastAsia" w:ascii="宋体" w:hAnsi="宋体" w:eastAsia="宋体" w:cs="宋体"/>
                <w:color w:val="000000"/>
                <w:kern w:val="0"/>
                <w:sz w:val="21"/>
                <w:szCs w:val="21"/>
                <w:lang w:val="en-US" w:eastAsia="zh-CN" w:bidi="ar"/>
              </w:rPr>
            </w:pPr>
          </w:p>
        </w:tc>
        <w:tc>
          <w:tcPr>
            <w:tcW w:w="3359" w:type="dxa"/>
            <w:tcBorders>
              <w:tl2br w:val="nil"/>
              <w:tr2bl w:val="nil"/>
            </w:tcBorders>
            <w:vAlign w:val="center"/>
          </w:tcPr>
          <w:p w14:paraId="4528BC38">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部分设备参数废水变化</w:t>
            </w:r>
          </w:p>
        </w:tc>
        <w:tc>
          <w:tcPr>
            <w:tcW w:w="2446" w:type="dxa"/>
            <w:tcBorders>
              <w:tl2br w:val="nil"/>
              <w:tr2bl w:val="nil"/>
            </w:tcBorders>
            <w:vAlign w:val="center"/>
          </w:tcPr>
          <w:p w14:paraId="13FE8B5B">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根据设计进程和现场实际</w:t>
            </w:r>
          </w:p>
        </w:tc>
        <w:tc>
          <w:tcPr>
            <w:tcW w:w="0" w:type="auto"/>
            <w:tcBorders>
              <w:tl2br w:val="nil"/>
              <w:tr2bl w:val="nil"/>
            </w:tcBorders>
            <w:vAlign w:val="center"/>
          </w:tcPr>
          <w:p w14:paraId="467250B8">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否</w:t>
            </w:r>
          </w:p>
        </w:tc>
      </w:tr>
    </w:tbl>
    <w:p w14:paraId="2D582C10">
      <w:pPr>
        <w:rPr>
          <w:rFonts w:hint="eastAsia"/>
          <w:lang w:val="en-US" w:eastAsia="zh-CN"/>
        </w:rPr>
        <w:sectPr>
          <w:pgSz w:w="16838" w:h="11906" w:orient="landscape"/>
          <w:pgMar w:top="1800" w:right="1440" w:bottom="1800" w:left="1440" w:header="1134" w:footer="1020" w:gutter="0"/>
          <w:pgBorders w:offsetFrom="page">
            <w:top w:val="none" w:sz="0" w:space="0"/>
            <w:left w:val="none" w:sz="0" w:space="0"/>
            <w:bottom w:val="none" w:sz="0" w:space="0"/>
            <w:right w:val="none" w:sz="0" w:space="0"/>
          </w:pgBorders>
          <w:pgNumType w:fmt="decimal"/>
          <w:cols w:space="425" w:num="1"/>
          <w:docGrid w:type="lines" w:linePitch="312" w:charSpace="0"/>
        </w:sectPr>
      </w:pPr>
    </w:p>
    <w:p w14:paraId="6034AEC0">
      <w:pPr>
        <w:pStyle w:val="3"/>
        <w:keepNext/>
        <w:keepLines/>
        <w:pageBreakBefore w:val="0"/>
        <w:widowControl w:val="0"/>
        <w:kinsoku/>
        <w:wordWrap/>
        <w:overflowPunct/>
        <w:topLinePunct w:val="0"/>
        <w:autoSpaceDE/>
        <w:autoSpaceDN/>
        <w:bidi w:val="0"/>
        <w:adjustRightInd/>
        <w:snapToGrid w:val="0"/>
        <w:spacing w:before="0" w:after="0" w:line="360" w:lineRule="auto"/>
        <w:jc w:val="both"/>
        <w:textAlignment w:val="auto"/>
        <w:outlineLvl w:val="0"/>
        <w:rPr>
          <w:rFonts w:hint="default" w:ascii="宋体" w:hAnsi="宋体" w:eastAsia="宋体" w:cs="宋体"/>
          <w:sz w:val="32"/>
          <w:szCs w:val="32"/>
          <w:lang w:val="en-US" w:eastAsia="zh-CN"/>
        </w:rPr>
      </w:pPr>
      <w:bookmarkStart w:id="29" w:name="_Toc24384"/>
      <w:r>
        <w:rPr>
          <w:rFonts w:hint="eastAsia" w:ascii="宋体" w:hAnsi="宋体" w:cs="宋体"/>
          <w:sz w:val="32"/>
          <w:szCs w:val="32"/>
          <w:lang w:val="en-US" w:eastAsia="zh-CN"/>
        </w:rPr>
        <w:t>4</w:t>
      </w:r>
      <w:r>
        <w:rPr>
          <w:rFonts w:hint="eastAsia" w:ascii="宋体" w:hAnsi="宋体" w:eastAsia="宋体" w:cs="宋体"/>
          <w:b/>
          <w:bCs/>
          <w:color w:val="000000"/>
          <w:kern w:val="0"/>
          <w:sz w:val="32"/>
          <w:szCs w:val="32"/>
          <w:lang w:val="en-US" w:eastAsia="zh-CN" w:bidi="ar"/>
        </w:rPr>
        <w:t>.</w:t>
      </w:r>
      <w:r>
        <w:rPr>
          <w:rFonts w:hint="eastAsia" w:ascii="宋体" w:hAnsi="宋体" w:cs="宋体"/>
          <w:sz w:val="32"/>
          <w:szCs w:val="32"/>
          <w:lang w:val="en-US" w:eastAsia="zh-CN"/>
        </w:rPr>
        <w:t xml:space="preserve">  环境保护设施</w:t>
      </w:r>
      <w:bookmarkEnd w:id="29"/>
    </w:p>
    <w:p w14:paraId="7D2450AC">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1"/>
        <w:rPr>
          <w:rFonts w:hint="eastAsia" w:ascii="宋体" w:hAnsi="宋体" w:cs="宋体"/>
          <w:b/>
          <w:bCs/>
          <w:color w:val="000000"/>
          <w:kern w:val="0"/>
          <w:sz w:val="28"/>
          <w:szCs w:val="28"/>
          <w:lang w:val="en-US" w:eastAsia="zh-CN" w:bidi="ar"/>
        </w:rPr>
      </w:pPr>
      <w:bookmarkStart w:id="30" w:name="_Toc5852"/>
      <w:r>
        <w:rPr>
          <w:rFonts w:hint="eastAsia" w:ascii="宋体" w:hAnsi="宋体" w:cs="宋体"/>
          <w:b/>
          <w:bCs/>
          <w:color w:val="000000"/>
          <w:kern w:val="0"/>
          <w:sz w:val="28"/>
          <w:szCs w:val="28"/>
          <w:lang w:val="en-US" w:eastAsia="zh-CN" w:bidi="ar"/>
        </w:rPr>
        <w:t>4.1  污染物治理</w:t>
      </w:r>
      <w:r>
        <w:rPr>
          <w:rFonts w:hint="default" w:ascii="宋体" w:hAnsi="宋体" w:cs="宋体"/>
          <w:b/>
          <w:bCs/>
          <w:color w:val="000000"/>
          <w:kern w:val="0"/>
          <w:sz w:val="28"/>
          <w:szCs w:val="28"/>
          <w:lang w:val="en-US" w:eastAsia="zh-CN" w:bidi="ar"/>
        </w:rPr>
        <w:t>/</w:t>
      </w:r>
      <w:r>
        <w:rPr>
          <w:rFonts w:hint="eastAsia" w:ascii="宋体" w:hAnsi="宋体" w:cs="宋体"/>
          <w:b/>
          <w:bCs/>
          <w:color w:val="000000"/>
          <w:kern w:val="0"/>
          <w:sz w:val="28"/>
          <w:szCs w:val="28"/>
          <w:lang w:val="en-US" w:eastAsia="zh-CN" w:bidi="ar"/>
        </w:rPr>
        <w:t>处置设施</w:t>
      </w:r>
      <w:bookmarkEnd w:id="30"/>
    </w:p>
    <w:p w14:paraId="65FE9E35">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auto"/>
        <w:outlineLvl w:val="2"/>
        <w:rPr>
          <w:rFonts w:hint="eastAsia" w:ascii="宋体" w:hAnsi="宋体" w:cs="宋体"/>
          <w:b/>
          <w:bCs/>
          <w:color w:val="000000"/>
          <w:kern w:val="0"/>
          <w:sz w:val="24"/>
          <w:szCs w:val="24"/>
          <w:lang w:val="en-US" w:eastAsia="zh-CN" w:bidi="ar"/>
        </w:rPr>
      </w:pPr>
      <w:bookmarkStart w:id="31" w:name="_Toc11984"/>
      <w:r>
        <w:rPr>
          <w:rFonts w:hint="eastAsia" w:ascii="宋体" w:hAnsi="宋体" w:cs="宋体"/>
          <w:b/>
          <w:bCs/>
          <w:color w:val="000000" w:themeColor="text1"/>
          <w:kern w:val="0"/>
          <w:sz w:val="24"/>
          <w:szCs w:val="24"/>
          <w:lang w:val="en-US" w:eastAsia="zh-CN" w:bidi="ar"/>
          <w14:textFill>
            <w14:solidFill>
              <w14:schemeClr w14:val="tx1"/>
            </w14:solidFill>
          </w14:textFill>
        </w:rPr>
        <w:t>4</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.1.</w:t>
      </w:r>
      <w:r>
        <w:rPr>
          <w:rFonts w:hint="eastAsia" w:ascii="宋体" w:hAnsi="宋体" w:cs="宋体"/>
          <w:b/>
          <w:bCs/>
          <w:color w:val="000000" w:themeColor="text1"/>
          <w:kern w:val="0"/>
          <w:sz w:val="24"/>
          <w:szCs w:val="24"/>
          <w:lang w:val="en-US" w:eastAsia="zh-CN" w:bidi="ar"/>
          <w14:textFill>
            <w14:solidFill>
              <w14:schemeClr w14:val="tx1"/>
            </w14:solidFill>
          </w14:textFill>
        </w:rPr>
        <w:t>1  废气</w:t>
      </w:r>
      <w:bookmarkEnd w:id="31"/>
    </w:p>
    <w:p w14:paraId="53403E66">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outlineLvl w:val="9"/>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本工程运行期废气污染主要是恶臭气体。依托一期一阶段生物滤池除臭设施，风量为15000m</w:t>
      </w:r>
      <w:r>
        <w:rPr>
          <w:rFonts w:hint="eastAsia" w:ascii="宋体" w:hAnsi="宋体" w:eastAsia="宋体" w:cs="宋体"/>
          <w:color w:val="000000"/>
          <w:kern w:val="0"/>
          <w:sz w:val="24"/>
          <w:szCs w:val="24"/>
          <w:vertAlign w:val="superscript"/>
          <w:lang w:val="en-US" w:eastAsia="zh-CN" w:bidi="ar"/>
        </w:rPr>
        <w:t>3</w:t>
      </w:r>
      <w:r>
        <w:rPr>
          <w:rFonts w:hint="eastAsia" w:ascii="宋体" w:hAnsi="宋体" w:eastAsia="宋体" w:cs="宋体"/>
          <w:color w:val="000000"/>
          <w:kern w:val="0"/>
          <w:sz w:val="24"/>
          <w:szCs w:val="24"/>
          <w:lang w:val="en-US" w:eastAsia="zh-CN" w:bidi="ar"/>
        </w:rPr>
        <w:t>/h，处理粗格栅及进水泵站、细格栅及曝气沉砂池、污泥浓缩脱水机房产生的恶臭，处理后通过15m高排气筒排放。其废气处理流程图如下：</w:t>
      </w:r>
    </w:p>
    <w:p w14:paraId="6BB60CD0">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outlineLvl w:val="9"/>
      </w:pPr>
      <w:r>
        <w:drawing>
          <wp:inline distT="0" distB="0" distL="114300" distR="114300">
            <wp:extent cx="5268595" cy="1815465"/>
            <wp:effectExtent l="0" t="0" r="8255" b="133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6"/>
                    <a:stretch>
                      <a:fillRect/>
                    </a:stretch>
                  </pic:blipFill>
                  <pic:spPr>
                    <a:xfrm>
                      <a:off x="0" y="0"/>
                      <a:ext cx="5268595" cy="1815465"/>
                    </a:xfrm>
                    <a:prstGeom prst="rect">
                      <a:avLst/>
                    </a:prstGeom>
                    <a:noFill/>
                    <a:ln>
                      <a:noFill/>
                    </a:ln>
                  </pic:spPr>
                </pic:pic>
              </a:graphicData>
            </a:graphic>
          </wp:inline>
        </w:drawing>
      </w:r>
    </w:p>
    <w:p w14:paraId="17885BB5">
      <w:pPr>
        <w:keepNext w:val="0"/>
        <w:keepLines w:val="0"/>
        <w:widowControl/>
        <w:suppressLineNumbers w:val="0"/>
        <w:jc w:val="center"/>
      </w:pPr>
      <w:r>
        <w:rPr>
          <w:rFonts w:hint="eastAsia" w:ascii="宋体" w:hAnsi="宋体" w:eastAsia="宋体" w:cs="宋体"/>
          <w:b/>
          <w:bCs/>
          <w:color w:val="000000"/>
          <w:kern w:val="0"/>
          <w:sz w:val="24"/>
          <w:szCs w:val="24"/>
          <w:lang w:val="en-US" w:eastAsia="zh-CN" w:bidi="ar"/>
        </w:rPr>
        <w:t>图4.1  废气处理流程图</w:t>
      </w:r>
    </w:p>
    <w:p w14:paraId="532B08D7">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2"/>
        <w:rPr>
          <w:rFonts w:hint="eastAsia" w:ascii="宋体" w:hAnsi="宋体" w:cs="宋体"/>
          <w:b/>
          <w:bCs/>
          <w:color w:val="000000" w:themeColor="text1"/>
          <w:kern w:val="0"/>
          <w:sz w:val="24"/>
          <w:szCs w:val="24"/>
          <w:lang w:val="en-US" w:eastAsia="zh-CN" w:bidi="ar"/>
          <w14:textFill>
            <w14:solidFill>
              <w14:schemeClr w14:val="tx1"/>
            </w14:solidFill>
          </w14:textFill>
        </w:rPr>
      </w:pPr>
      <w:bookmarkStart w:id="32" w:name="_Toc3080"/>
      <w:r>
        <w:rPr>
          <w:rFonts w:hint="eastAsia" w:ascii="宋体" w:hAnsi="宋体" w:cs="宋体"/>
          <w:b/>
          <w:bCs/>
          <w:color w:val="000000" w:themeColor="text1"/>
          <w:kern w:val="0"/>
          <w:sz w:val="24"/>
          <w:szCs w:val="24"/>
          <w:lang w:val="en-US" w:eastAsia="zh-CN" w:bidi="ar"/>
          <w14:textFill>
            <w14:solidFill>
              <w14:schemeClr w14:val="tx1"/>
            </w14:solidFill>
          </w14:textFill>
        </w:rPr>
        <w:t>4</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.1.</w:t>
      </w:r>
      <w:r>
        <w:rPr>
          <w:rFonts w:hint="eastAsia" w:ascii="宋体" w:hAnsi="宋体" w:cs="宋体"/>
          <w:b/>
          <w:bCs/>
          <w:color w:val="000000" w:themeColor="text1"/>
          <w:kern w:val="0"/>
          <w:sz w:val="24"/>
          <w:szCs w:val="24"/>
          <w:lang w:val="en-US" w:eastAsia="zh-CN" w:bidi="ar"/>
          <w14:textFill>
            <w14:solidFill>
              <w14:schemeClr w14:val="tx1"/>
            </w14:solidFill>
          </w14:textFill>
        </w:rPr>
        <w:t>2  废水</w:t>
      </w:r>
      <w:bookmarkEnd w:id="32"/>
    </w:p>
    <w:p w14:paraId="55392102">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9"/>
        <w:rPr>
          <w:rFonts w:hint="eastAsia" w:ascii="宋体" w:hAnsi="宋体" w:cs="宋体"/>
          <w:b/>
          <w:bCs/>
          <w:color w:val="000000" w:themeColor="text1"/>
          <w:kern w:val="0"/>
          <w:sz w:val="24"/>
          <w:szCs w:val="24"/>
          <w:lang w:val="en-US" w:eastAsia="zh-CN" w:bidi="ar"/>
          <w14:textFill>
            <w14:solidFill>
              <w14:schemeClr w14:val="tx1"/>
            </w14:solidFill>
          </w14:textFill>
        </w:rPr>
      </w:pPr>
      <w:r>
        <w:rPr>
          <w:rFonts w:hint="eastAsia" w:ascii="宋体" w:hAnsi="宋体" w:cs="宋体"/>
          <w:b/>
          <w:bCs/>
          <w:color w:val="000000" w:themeColor="text1"/>
          <w:kern w:val="0"/>
          <w:sz w:val="24"/>
          <w:szCs w:val="24"/>
          <w:lang w:val="en-US" w:eastAsia="zh-CN" w:bidi="ar"/>
          <w14:textFill>
            <w14:solidFill>
              <w14:schemeClr w14:val="tx1"/>
            </w14:solidFill>
          </w14:textFill>
        </w:rPr>
        <w:t>4.1.2.1  厂里废水</w:t>
      </w:r>
    </w:p>
    <w:p w14:paraId="285AB194">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outlineLvl w:val="9"/>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项目排放的废水主要为生活污水。生活污水进入和县经济开发区污水处理厂一并处理。</w:t>
      </w:r>
    </w:p>
    <w:p w14:paraId="4CDBE2D3">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9"/>
        <w:rPr>
          <w:rFonts w:hint="eastAsia" w:ascii="宋体" w:hAnsi="宋体" w:cs="宋体"/>
          <w:b/>
          <w:bCs/>
          <w:color w:val="000000" w:themeColor="text1"/>
          <w:kern w:val="0"/>
          <w:sz w:val="24"/>
          <w:szCs w:val="24"/>
          <w:lang w:val="en-US" w:eastAsia="zh-CN" w:bidi="ar"/>
          <w14:textFill>
            <w14:solidFill>
              <w14:schemeClr w14:val="tx1"/>
            </w14:solidFill>
          </w14:textFill>
        </w:rPr>
      </w:pPr>
      <w:r>
        <w:rPr>
          <w:rFonts w:hint="eastAsia" w:ascii="宋体" w:hAnsi="宋体" w:cs="宋体"/>
          <w:b/>
          <w:bCs/>
          <w:color w:val="000000" w:themeColor="text1"/>
          <w:kern w:val="0"/>
          <w:sz w:val="24"/>
          <w:szCs w:val="24"/>
          <w:lang w:val="en-US" w:eastAsia="zh-CN" w:bidi="ar"/>
          <w14:textFill>
            <w14:solidFill>
              <w14:schemeClr w14:val="tx1"/>
            </w14:solidFill>
          </w14:textFill>
        </w:rPr>
        <w:t>4.1.2.2  项目收纳的废水</w:t>
      </w:r>
    </w:p>
    <w:p w14:paraId="4954CB76">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outlineLvl w:val="9"/>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通过</w:t>
      </w:r>
      <w:r>
        <w:rPr>
          <w:rFonts w:hint="eastAsia" w:ascii="宋体" w:hAnsi="宋体" w:cs="宋体"/>
          <w:color w:val="000000"/>
          <w:kern w:val="0"/>
          <w:sz w:val="24"/>
          <w:szCs w:val="24"/>
          <w:lang w:val="en-US" w:eastAsia="zh-CN" w:bidi="ar"/>
        </w:rPr>
        <w:t>管网</w:t>
      </w:r>
      <w:r>
        <w:rPr>
          <w:rFonts w:hint="eastAsia" w:ascii="宋体" w:hAnsi="宋体" w:eastAsia="宋体" w:cs="宋体"/>
          <w:color w:val="000000"/>
          <w:kern w:val="0"/>
          <w:sz w:val="24"/>
          <w:szCs w:val="24"/>
          <w:lang w:val="en-US" w:eastAsia="zh-CN" w:bidi="ar"/>
        </w:rPr>
        <w:t>收集的废水达到《污水综合排放标准》（GB8978-1996）和《污水排入城镇下水道水质标准》（</w:t>
      </w:r>
      <w:r>
        <w:rPr>
          <w:rFonts w:hint="default" w:ascii="宋体" w:hAnsi="宋体" w:eastAsia="宋体" w:cs="宋体"/>
          <w:color w:val="000000"/>
          <w:kern w:val="0"/>
          <w:sz w:val="24"/>
          <w:szCs w:val="24"/>
          <w:lang w:val="en-US" w:eastAsia="zh-CN" w:bidi="ar"/>
        </w:rPr>
        <w:t>GB/T31962-2015</w:t>
      </w:r>
      <w:r>
        <w:rPr>
          <w:rFonts w:hint="eastAsia" w:ascii="宋体" w:hAnsi="宋体" w:eastAsia="宋体" w:cs="宋体"/>
          <w:color w:val="000000"/>
          <w:kern w:val="0"/>
          <w:sz w:val="24"/>
          <w:szCs w:val="24"/>
          <w:lang w:val="en-US" w:eastAsia="zh-CN" w:bidi="ar"/>
        </w:rPr>
        <w:t>）标准后采用“预处理+水解酸化池+改良 AAO 氧化沟+高效沉淀池+反硝化深床滤池+磁混凝除氟沉淀系统”工艺，设计出水水质稳定达到《城镇污水处理厂污染物排放标准》（GB18918-2002）表1中一级标准的A标准，尾水排入双桥河。</w:t>
      </w:r>
    </w:p>
    <w:p w14:paraId="64142E53">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b/>
          <w:bCs/>
          <w:color w:val="000000"/>
          <w:kern w:val="0"/>
          <w:sz w:val="24"/>
          <w:szCs w:val="24"/>
          <w:lang w:val="en-US" w:eastAsia="zh-CN" w:bidi="ar"/>
        </w:rPr>
      </w:pPr>
      <w:r>
        <w:rPr>
          <w:rFonts w:hint="eastAsia" w:ascii="宋体" w:hAnsi="宋体" w:cs="宋体"/>
          <w:b/>
          <w:bCs/>
          <w:color w:val="000000" w:themeColor="text1"/>
          <w:kern w:val="0"/>
          <w:sz w:val="24"/>
          <w:szCs w:val="24"/>
          <w:lang w:val="en-US" w:eastAsia="zh-CN" w:bidi="ar"/>
          <w14:textFill>
            <w14:solidFill>
              <w14:schemeClr w14:val="tx1"/>
            </w14:solidFill>
          </w14:textFill>
        </w:rPr>
        <w:t xml:space="preserve">4.1.2.3  </w:t>
      </w:r>
      <w:r>
        <w:rPr>
          <w:rFonts w:hint="eastAsia" w:ascii="宋体" w:hAnsi="宋体" w:eastAsia="宋体" w:cs="宋体"/>
          <w:b/>
          <w:bCs/>
          <w:color w:val="000000"/>
          <w:kern w:val="0"/>
          <w:sz w:val="24"/>
          <w:szCs w:val="24"/>
          <w:lang w:val="en-US" w:eastAsia="zh-CN" w:bidi="ar"/>
        </w:rPr>
        <w:t>对排污单位的管理要求</w:t>
      </w:r>
    </w:p>
    <w:p w14:paraId="46DD0076">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outlineLvl w:val="9"/>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①为保证污水处理厂正常运转，要求所有进管污水的水质必须达到《污水排入城镇下水道水质标准》（GB/T31962-2015）表</w:t>
      </w:r>
      <w:r>
        <w:rPr>
          <w:rFonts w:hint="eastAsia" w:ascii="宋体" w:hAnsi="宋体" w:cs="宋体"/>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的B等级标准，并满足污水处理厂接管要求。</w:t>
      </w:r>
    </w:p>
    <w:p w14:paraId="70B27243">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outlineLvl w:val="9"/>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②对日排水量大的重点排污企业应要求设置事故池，实行环保监理不定期抽查和企业排污申报制度，保证废水达标排放。</w:t>
      </w:r>
    </w:p>
    <w:p w14:paraId="517D5F32">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outlineLvl w:val="9"/>
        <w:rPr>
          <w:rFonts w:hint="eastAsia" w:ascii="宋体" w:hAnsi="宋体" w:eastAsia="宋体" w:cs="宋体"/>
          <w:b/>
          <w:bCs/>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③企业若出现废水处理设施运行不正常情况，废水排放不达标，应及时排除故障，并通知污水处理厂。</w:t>
      </w:r>
    </w:p>
    <w:p w14:paraId="1CCCC055">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2"/>
        <w:rPr>
          <w:rFonts w:hint="eastAsia" w:ascii="宋体" w:hAnsi="宋体" w:eastAsia="宋体" w:cs="宋体"/>
          <w:b/>
          <w:bCs/>
          <w:color w:val="000000" w:themeColor="text1"/>
          <w:kern w:val="0"/>
          <w:sz w:val="24"/>
          <w:szCs w:val="24"/>
          <w:lang w:val="en-US" w:eastAsia="zh-CN" w:bidi="ar"/>
          <w14:textFill>
            <w14:solidFill>
              <w14:schemeClr w14:val="tx1"/>
            </w14:solidFill>
          </w14:textFill>
        </w:rPr>
      </w:pPr>
      <w:bookmarkStart w:id="33" w:name="_Toc8408"/>
      <w:r>
        <w:rPr>
          <w:rFonts w:hint="eastAsia" w:ascii="宋体" w:hAnsi="宋体" w:eastAsia="宋体" w:cs="宋体"/>
          <w:b/>
          <w:bCs/>
          <w:color w:val="000000" w:themeColor="text1"/>
          <w:kern w:val="0"/>
          <w:sz w:val="24"/>
          <w:szCs w:val="24"/>
          <w:lang w:val="en-US" w:eastAsia="zh-CN" w:bidi="ar"/>
          <w14:textFill>
            <w14:solidFill>
              <w14:schemeClr w14:val="tx1"/>
            </w14:solidFill>
          </w14:textFill>
        </w:rPr>
        <w:t>4.1.3</w:t>
      </w:r>
      <w:r>
        <w:rPr>
          <w:rFonts w:hint="eastAsia" w:ascii="宋体" w:hAnsi="宋体" w:cs="宋体"/>
          <w:b/>
          <w:bCs/>
          <w:color w:val="000000" w:themeColor="text1"/>
          <w:kern w:val="0"/>
          <w:sz w:val="24"/>
          <w:szCs w:val="24"/>
          <w:lang w:val="en-US" w:eastAsia="zh-CN" w:bidi="ar"/>
          <w14:textFill>
            <w14:solidFill>
              <w14:schemeClr w14:val="tx1"/>
            </w14:solidFill>
          </w14:textFill>
        </w:rPr>
        <w:t xml:space="preserve"> </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 xml:space="preserve"> 噪声污染控制措施</w:t>
      </w:r>
      <w:bookmarkEnd w:id="33"/>
    </w:p>
    <w:p w14:paraId="60BBED29">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outlineLvl w:val="9"/>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污水处理厂的噪声来源于厂内传动机械工作时发出的噪声，有鼓风机、潜水搅拌器、污泥泵、提升水泵、加药泵等设备</w:t>
      </w:r>
      <w:r>
        <w:rPr>
          <w:rFonts w:hint="eastAsia" w:ascii="宋体" w:hAnsi="宋体" w:cs="宋体"/>
          <w:color w:val="000000"/>
          <w:kern w:val="0"/>
          <w:sz w:val="24"/>
          <w:szCs w:val="24"/>
          <w:lang w:val="en-US" w:eastAsia="zh-CN" w:bidi="ar"/>
        </w:rPr>
        <w:t>运转</w:t>
      </w:r>
      <w:r>
        <w:rPr>
          <w:rFonts w:hint="eastAsia" w:ascii="宋体" w:hAnsi="宋体" w:eastAsia="宋体" w:cs="宋体"/>
          <w:color w:val="000000"/>
          <w:kern w:val="0"/>
          <w:sz w:val="24"/>
          <w:szCs w:val="24"/>
          <w:lang w:val="en-US" w:eastAsia="zh-CN" w:bidi="ar"/>
        </w:rPr>
        <w:t>时产生的噪声，噪声级一般在80-95dB（A</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，还有厂区内外来往车辆等的噪声。采取的主要防治措施如下：</w:t>
      </w:r>
    </w:p>
    <w:p w14:paraId="32A735BA">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outlineLvl w:val="9"/>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（1）设备选购时选用噪声较低的同类设备，机座设防震垫，如污水泵、污泥泵等均设在室内或置于水下</w:t>
      </w:r>
      <w:r>
        <w:rPr>
          <w:rFonts w:hint="eastAsia" w:ascii="宋体" w:hAnsi="宋体" w:cs="宋体"/>
          <w:color w:val="000000"/>
          <w:kern w:val="0"/>
          <w:sz w:val="24"/>
          <w:szCs w:val="24"/>
          <w:lang w:val="en-US" w:eastAsia="zh-CN" w:bidi="ar"/>
        </w:rPr>
        <w:t>；</w:t>
      </w:r>
    </w:p>
    <w:p w14:paraId="367FEE86">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outlineLvl w:val="9"/>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（2）厂区内的构筑物应合理布局，高噪声设备与厂区内办公区隔开；</w:t>
      </w:r>
    </w:p>
    <w:p w14:paraId="26E1479A">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outlineLvl w:val="9"/>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（3）鼓风机进出口安装消声器，进出风管及加压泵进出水管均采用可曲挠橡胶接头与设备连接，同时设置隔声罩将鼓风机整体封闭起来，并在罩座下加装减振器；</w:t>
      </w:r>
    </w:p>
    <w:p w14:paraId="14968E1E">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outlineLvl w:val="9"/>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（4）污泥脱水机房采取封闭式建筑，并安装隔声门窗，对污泥泵进行基础减振处理</w:t>
      </w:r>
      <w:r>
        <w:rPr>
          <w:rFonts w:hint="eastAsia" w:ascii="宋体" w:hAnsi="宋体" w:cs="宋体"/>
          <w:color w:val="000000"/>
          <w:kern w:val="0"/>
          <w:sz w:val="24"/>
          <w:szCs w:val="24"/>
          <w:lang w:val="en-US" w:eastAsia="zh-CN" w:bidi="ar"/>
        </w:rPr>
        <w:t>。</w:t>
      </w:r>
    </w:p>
    <w:p w14:paraId="4BEFF47E">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2"/>
        <w:rPr>
          <w:rFonts w:hint="eastAsia" w:ascii="宋体" w:hAnsi="宋体" w:eastAsia="宋体" w:cs="宋体"/>
          <w:b/>
          <w:bCs/>
          <w:color w:val="000000" w:themeColor="text1"/>
          <w:kern w:val="0"/>
          <w:sz w:val="24"/>
          <w:szCs w:val="24"/>
          <w:lang w:val="en-US" w:eastAsia="zh-CN" w:bidi="ar"/>
          <w14:textFill>
            <w14:solidFill>
              <w14:schemeClr w14:val="tx1"/>
            </w14:solidFill>
          </w14:textFill>
        </w:rPr>
      </w:pPr>
      <w:bookmarkStart w:id="34" w:name="_Toc18931"/>
      <w:r>
        <w:rPr>
          <w:rFonts w:hint="eastAsia" w:ascii="宋体" w:hAnsi="宋体" w:eastAsia="宋体" w:cs="宋体"/>
          <w:b/>
          <w:bCs/>
          <w:color w:val="000000" w:themeColor="text1"/>
          <w:kern w:val="0"/>
          <w:sz w:val="24"/>
          <w:szCs w:val="24"/>
          <w:lang w:val="en-US" w:eastAsia="zh-CN" w:bidi="ar"/>
          <w14:textFill>
            <w14:solidFill>
              <w14:schemeClr w14:val="tx1"/>
            </w14:solidFill>
          </w14:textFill>
        </w:rPr>
        <w:t>4.1.4 固体废物污染控制措施</w:t>
      </w:r>
      <w:bookmarkEnd w:id="34"/>
    </w:p>
    <w:p w14:paraId="4D469287">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default" w:ascii="宋体" w:hAnsi="宋体" w:eastAsia="宋体" w:cs="宋体"/>
          <w:color w:val="000000" w:themeColor="text1"/>
          <w:sz w:val="24"/>
          <w:szCs w:val="24"/>
          <w:lang w:val="en-US"/>
          <w14:textFill>
            <w14:solidFill>
              <w14:schemeClr w14:val="tx1"/>
            </w14:solidFill>
          </w14:textFill>
        </w:rPr>
      </w:pPr>
      <w:r>
        <w:rPr>
          <w:rFonts w:hint="eastAsia" w:ascii="宋体" w:hAnsi="宋体" w:eastAsia="宋体" w:cs="宋体"/>
          <w:color w:val="000000" w:themeColor="text1"/>
          <w:sz w:val="24"/>
          <w:szCs w:val="24"/>
          <w:lang w:val="en-GB"/>
          <w14:textFill>
            <w14:solidFill>
              <w14:schemeClr w14:val="tx1"/>
            </w14:solidFill>
          </w14:textFill>
        </w:rPr>
        <w:t>本项目产生的固废主要为：</w:t>
      </w:r>
      <w:r>
        <w:rPr>
          <w:rFonts w:hint="eastAsia" w:ascii="宋体" w:hAnsi="宋体" w:eastAsia="宋体" w:cs="宋体"/>
          <w:color w:val="000000" w:themeColor="text1"/>
          <w:sz w:val="24"/>
          <w:szCs w:val="24"/>
          <w:lang w:val="en-US" w:eastAsia="zh-CN"/>
          <w14:textFill>
            <w14:solidFill>
              <w14:schemeClr w14:val="tx1"/>
            </w14:solidFill>
          </w14:textFill>
        </w:rPr>
        <w:t>格栅井分离</w:t>
      </w:r>
      <w:r>
        <w:rPr>
          <w:rFonts w:hint="eastAsia" w:ascii="宋体" w:hAnsi="宋体" w:cs="宋体"/>
          <w:color w:val="000000" w:themeColor="text1"/>
          <w:sz w:val="24"/>
          <w:szCs w:val="24"/>
          <w:lang w:val="en-US" w:eastAsia="zh-CN"/>
          <w14:textFill>
            <w14:solidFill>
              <w14:schemeClr w14:val="tx1"/>
            </w14:solidFill>
          </w14:textFill>
        </w:rPr>
        <w:t>产生的</w:t>
      </w:r>
      <w:r>
        <w:rPr>
          <w:rFonts w:hint="eastAsia" w:ascii="宋体" w:hAnsi="宋体" w:eastAsia="宋体" w:cs="宋体"/>
          <w:color w:val="000000" w:themeColor="text1"/>
          <w:sz w:val="24"/>
          <w:szCs w:val="24"/>
          <w:lang w:val="en-US" w:eastAsia="zh-CN"/>
          <w14:textFill>
            <w14:solidFill>
              <w14:schemeClr w14:val="tx1"/>
            </w14:solidFill>
          </w14:textFill>
        </w:rPr>
        <w:t>栅渣</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沉砂池分离产生的沉砂</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改良</w:t>
      </w:r>
      <w:r>
        <w:rPr>
          <w:rFonts w:hint="default" w:ascii="宋体" w:hAnsi="宋体" w:eastAsia="宋体" w:cs="宋体"/>
          <w:color w:val="000000" w:themeColor="text1"/>
          <w:sz w:val="24"/>
          <w:szCs w:val="24"/>
          <w:lang w:val="en-US" w:eastAsia="zh-CN"/>
          <w14:textFill>
            <w14:solidFill>
              <w14:schemeClr w14:val="tx1"/>
            </w14:solidFill>
          </w14:textFill>
        </w:rPr>
        <w:t>AAO</w:t>
      </w:r>
      <w:r>
        <w:rPr>
          <w:rFonts w:hint="eastAsia" w:ascii="宋体" w:hAnsi="宋体" w:eastAsia="宋体" w:cs="宋体"/>
          <w:color w:val="000000" w:themeColor="text1"/>
          <w:sz w:val="24"/>
          <w:szCs w:val="24"/>
          <w:lang w:val="en-US" w:eastAsia="zh-CN"/>
          <w14:textFill>
            <w14:solidFill>
              <w14:schemeClr w14:val="tx1"/>
            </w14:solidFill>
          </w14:textFill>
        </w:rPr>
        <w:t>氧化沟</w:t>
      </w:r>
      <w:r>
        <w:rPr>
          <w:rFonts w:hint="default"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高效沉淀池</w:t>
      </w:r>
      <w:r>
        <w:rPr>
          <w:rFonts w:hint="default"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深床滤池</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混凝除氟沉淀污水处理过程中产生的污泥</w:t>
      </w:r>
      <w:r>
        <w:rPr>
          <w:rFonts w:hint="eastAsia" w:ascii="宋体" w:hAnsi="宋体" w:cs="宋体"/>
          <w:color w:val="000000" w:themeColor="text1"/>
          <w:sz w:val="24"/>
          <w:szCs w:val="24"/>
          <w:lang w:val="en-US" w:eastAsia="zh-CN"/>
          <w14:textFill>
            <w14:solidFill>
              <w14:schemeClr w14:val="tx1"/>
            </w14:solidFill>
          </w14:textFill>
        </w:rPr>
        <w:t>以及设备保养过程中产生的废润滑油。</w:t>
      </w:r>
    </w:p>
    <w:p w14:paraId="6ADFD265">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（1）格栅渣处置</w:t>
      </w:r>
    </w:p>
    <w:p w14:paraId="280DD4E0">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在污水预处理阶段，由格栅井分离出一定量的栅渣，主要是较大块状物、枝状物、软性物质和软塑料等粗、细垃圾和悬浮或</w:t>
      </w:r>
      <w:r>
        <w:rPr>
          <w:rFonts w:hint="eastAsia" w:ascii="宋体" w:hAnsi="宋体" w:cs="宋体"/>
          <w:color w:val="000000" w:themeColor="text1"/>
          <w:sz w:val="24"/>
          <w:szCs w:val="24"/>
          <w:lang w:val="en-US" w:eastAsia="zh-CN"/>
          <w14:textFill>
            <w14:solidFill>
              <w14:schemeClr w14:val="tx1"/>
            </w14:solidFill>
          </w14:textFill>
        </w:rPr>
        <w:t>漂浮</w:t>
      </w:r>
      <w:r>
        <w:rPr>
          <w:rFonts w:hint="eastAsia" w:ascii="宋体" w:hAnsi="宋体" w:eastAsia="宋体" w:cs="宋体"/>
          <w:color w:val="000000" w:themeColor="text1"/>
          <w:sz w:val="24"/>
          <w:szCs w:val="24"/>
          <w:lang w:val="en-US" w:eastAsia="zh-CN"/>
          <w14:textFill>
            <w14:solidFill>
              <w14:schemeClr w14:val="tx1"/>
            </w14:solidFill>
          </w14:textFill>
        </w:rPr>
        <w:t>状态的杂物为第Ⅰ类一般工业固体废物，由当地环卫部门收集处理。</w:t>
      </w:r>
    </w:p>
    <w:p w14:paraId="04625963">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（2）沉砂处置</w:t>
      </w:r>
    </w:p>
    <w:p w14:paraId="7CE938B5">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在沉砂池分离出一定量的沉砂，主要含无机砂粒，沉砂为第Ⅰ类一般工业固体废物，送城市生活垃圾卫生填埋场填埋。</w:t>
      </w:r>
    </w:p>
    <w:p w14:paraId="61585376">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（3）污泥处理</w:t>
      </w:r>
    </w:p>
    <w:p w14:paraId="621802B0">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运营期内产生的污泥为一般固废委托和县第一污水处理厂处理干化。</w:t>
      </w:r>
    </w:p>
    <w:p w14:paraId="345DDD71">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w:t>
      </w:r>
      <w:r>
        <w:rPr>
          <w:rFonts w:hint="default" w:ascii="宋体" w:hAnsi="宋体" w:eastAsia="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lang w:val="en-US" w:eastAsia="zh-CN"/>
          <w14:textFill>
            <w14:solidFill>
              <w14:schemeClr w14:val="tx1"/>
            </w14:solidFill>
          </w14:textFill>
        </w:rPr>
        <w:t>）废润滑油</w:t>
      </w:r>
    </w:p>
    <w:p w14:paraId="0D54D3BF">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设备保养过程中产生的废润滑油暂存危废库内，定期交由有资质的单位处置。</w:t>
      </w:r>
    </w:p>
    <w:p w14:paraId="6F0F0DFB">
      <w:pPr>
        <w:pStyle w:val="6"/>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项目固废处理处置情况见表</w:t>
      </w:r>
      <w:r>
        <w:rPr>
          <w:rFonts w:hint="eastAsia" w:cs="宋体"/>
          <w:color w:val="000000" w:themeColor="text1"/>
          <w:lang w:val="en-US" w:eastAsia="zh-CN"/>
          <w14:textFill>
            <w14:solidFill>
              <w14:schemeClr w14:val="tx1"/>
            </w14:solidFill>
          </w14:textFill>
        </w:rPr>
        <w:t>4.1-1</w:t>
      </w:r>
      <w:r>
        <w:rPr>
          <w:rFonts w:hint="eastAsia" w:ascii="宋体" w:hAnsi="宋体" w:eastAsia="宋体" w:cs="宋体"/>
          <w:color w:val="000000" w:themeColor="text1"/>
          <w14:textFill>
            <w14:solidFill>
              <w14:schemeClr w14:val="tx1"/>
            </w14:solidFill>
          </w14:textFill>
        </w:rPr>
        <w:t>。</w:t>
      </w:r>
    </w:p>
    <w:p w14:paraId="0B5047D7">
      <w:pPr>
        <w:jc w:val="center"/>
        <w:rPr>
          <w:rFonts w:hint="eastAsia"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表</w:t>
      </w:r>
      <w:r>
        <w:rPr>
          <w:rFonts w:hint="eastAsia" w:ascii="宋体" w:hAnsi="宋体" w:cs="宋体"/>
          <w:b/>
          <w:bCs/>
          <w:color w:val="000000" w:themeColor="text1"/>
          <w:sz w:val="24"/>
          <w:lang w:val="en-US" w:eastAsia="zh-CN"/>
          <w14:textFill>
            <w14:solidFill>
              <w14:schemeClr w14:val="tx1"/>
            </w14:solidFill>
          </w14:textFill>
        </w:rPr>
        <w:t>4.1-1</w:t>
      </w:r>
      <w:r>
        <w:rPr>
          <w:rFonts w:hint="eastAsia" w:ascii="宋体" w:hAnsi="宋体" w:eastAsia="宋体" w:cs="宋体"/>
          <w:b/>
          <w:bCs/>
          <w:color w:val="000000" w:themeColor="text1"/>
          <w:sz w:val="24"/>
          <w14:textFill>
            <w14:solidFill>
              <w14:schemeClr w14:val="tx1"/>
            </w14:solidFill>
          </w14:textFill>
        </w:rPr>
        <w:t xml:space="preserve">  固废产生情况一览表</w:t>
      </w:r>
    </w:p>
    <w:tbl>
      <w:tblPr>
        <w:tblStyle w:val="19"/>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8"/>
        <w:gridCol w:w="935"/>
        <w:gridCol w:w="1315"/>
        <w:gridCol w:w="716"/>
        <w:gridCol w:w="680"/>
        <w:gridCol w:w="875"/>
        <w:gridCol w:w="2462"/>
        <w:gridCol w:w="1066"/>
      </w:tblGrid>
      <w:tr w14:paraId="25FB9B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4" w:type="pct"/>
            <w:noWrap w:val="0"/>
            <w:vAlign w:val="center"/>
          </w:tcPr>
          <w:p w14:paraId="47726212">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序号</w:t>
            </w:r>
          </w:p>
        </w:tc>
        <w:tc>
          <w:tcPr>
            <w:tcW w:w="548" w:type="pct"/>
            <w:noWrap w:val="0"/>
            <w:vAlign w:val="center"/>
          </w:tcPr>
          <w:p w14:paraId="7D19155C">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名称</w:t>
            </w:r>
          </w:p>
        </w:tc>
        <w:tc>
          <w:tcPr>
            <w:tcW w:w="771" w:type="pct"/>
            <w:noWrap w:val="0"/>
            <w:vAlign w:val="center"/>
          </w:tcPr>
          <w:p w14:paraId="0B2EC839">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类别</w:t>
            </w:r>
          </w:p>
        </w:tc>
        <w:tc>
          <w:tcPr>
            <w:tcW w:w="420" w:type="pct"/>
            <w:noWrap w:val="0"/>
            <w:vAlign w:val="center"/>
          </w:tcPr>
          <w:p w14:paraId="5FE67FE5">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状态</w:t>
            </w:r>
          </w:p>
        </w:tc>
        <w:tc>
          <w:tcPr>
            <w:tcW w:w="399" w:type="pct"/>
            <w:noWrap w:val="0"/>
            <w:vAlign w:val="center"/>
          </w:tcPr>
          <w:p w14:paraId="597F3B48">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存放</w:t>
            </w:r>
          </w:p>
          <w:p w14:paraId="758BE22C">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地点</w:t>
            </w:r>
          </w:p>
        </w:tc>
        <w:tc>
          <w:tcPr>
            <w:tcW w:w="513" w:type="pct"/>
            <w:noWrap w:val="0"/>
            <w:vAlign w:val="center"/>
          </w:tcPr>
          <w:p w14:paraId="2BFF56CF">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产生量</w:t>
            </w:r>
          </w:p>
          <w:p w14:paraId="14193581">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（t/a）</w:t>
            </w:r>
          </w:p>
        </w:tc>
        <w:tc>
          <w:tcPr>
            <w:tcW w:w="1445" w:type="pct"/>
            <w:noWrap w:val="0"/>
            <w:vAlign w:val="center"/>
          </w:tcPr>
          <w:p w14:paraId="775D5FF3">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处置方式</w:t>
            </w:r>
          </w:p>
        </w:tc>
        <w:tc>
          <w:tcPr>
            <w:tcW w:w="625" w:type="pct"/>
            <w:noWrap w:val="0"/>
            <w:vAlign w:val="center"/>
          </w:tcPr>
          <w:p w14:paraId="5D26192F">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排放量（t/a）</w:t>
            </w:r>
          </w:p>
        </w:tc>
      </w:tr>
      <w:tr w14:paraId="3F7D1E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4" w:type="pct"/>
            <w:noWrap w:val="0"/>
            <w:vAlign w:val="center"/>
          </w:tcPr>
          <w:p w14:paraId="2FBF3299">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p>
        </w:tc>
        <w:tc>
          <w:tcPr>
            <w:tcW w:w="548" w:type="pct"/>
            <w:noWrap w:val="0"/>
            <w:vAlign w:val="center"/>
          </w:tcPr>
          <w:p w14:paraId="37B2D323">
            <w:pPr>
              <w:pStyle w:val="36"/>
              <w:keepNext w:val="0"/>
              <w:keepLines w:val="0"/>
              <w:pageBreakBefore w:val="0"/>
              <w:kinsoku/>
              <w:wordWrap/>
              <w:overflowPunct/>
              <w:topLinePunct w:val="0"/>
              <w:autoSpaceDE/>
              <w:autoSpaceDN/>
              <w:bidi w:val="0"/>
              <w:adjustRightInd/>
              <w:snapToGrid w:val="0"/>
              <w:spacing w:line="240" w:lineRule="auto"/>
              <w:ind w:left="-120" w:leftChars="-50" w:right="-120" w:rightChars="-50"/>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栅渣</w:t>
            </w:r>
          </w:p>
        </w:tc>
        <w:tc>
          <w:tcPr>
            <w:tcW w:w="771" w:type="pct"/>
            <w:noWrap w:val="0"/>
            <w:vAlign w:val="center"/>
          </w:tcPr>
          <w:p w14:paraId="733A58ED">
            <w:pPr>
              <w:keepNext w:val="0"/>
              <w:keepLines w:val="0"/>
              <w:pageBreakBefore w:val="0"/>
              <w:widowControl/>
              <w:kinsoku/>
              <w:wordWrap/>
              <w:overflowPunct/>
              <w:topLinePunct w:val="0"/>
              <w:autoSpaceDE/>
              <w:autoSpaceDN/>
              <w:bidi w:val="0"/>
              <w:adjustRightInd/>
              <w:snapToGrid w:val="0"/>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一般固废</w:t>
            </w:r>
          </w:p>
        </w:tc>
        <w:tc>
          <w:tcPr>
            <w:tcW w:w="420" w:type="pct"/>
            <w:noWrap w:val="0"/>
            <w:vAlign w:val="center"/>
          </w:tcPr>
          <w:p w14:paraId="6DB2A880">
            <w:pPr>
              <w:keepNext w:val="0"/>
              <w:keepLines w:val="0"/>
              <w:pageBreakBefore w:val="0"/>
              <w:kinsoku/>
              <w:wordWrap/>
              <w:overflowPunct/>
              <w:topLinePunct w:val="0"/>
              <w:autoSpaceDE/>
              <w:autoSpaceDN/>
              <w:bidi w:val="0"/>
              <w:adjustRightInd/>
              <w:snapToGrid w:val="0"/>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固态</w:t>
            </w:r>
          </w:p>
        </w:tc>
        <w:tc>
          <w:tcPr>
            <w:tcW w:w="399" w:type="pct"/>
            <w:vMerge w:val="restart"/>
            <w:noWrap w:val="0"/>
            <w:vAlign w:val="center"/>
          </w:tcPr>
          <w:p w14:paraId="74A0A726">
            <w:pPr>
              <w:keepNext w:val="0"/>
              <w:keepLines w:val="0"/>
              <w:pageBreakBefore w:val="0"/>
              <w:kinsoku/>
              <w:wordWrap/>
              <w:overflowPunct/>
              <w:topLinePunct w:val="0"/>
              <w:autoSpaceDE/>
              <w:autoSpaceDN/>
              <w:bidi w:val="0"/>
              <w:adjustRightInd/>
              <w:snapToGrid w:val="0"/>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一般固废库</w:t>
            </w:r>
          </w:p>
        </w:tc>
        <w:tc>
          <w:tcPr>
            <w:tcW w:w="513" w:type="pct"/>
            <w:noWrap w:val="0"/>
            <w:vAlign w:val="center"/>
          </w:tcPr>
          <w:p w14:paraId="2B332038">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45.25</w:t>
            </w:r>
          </w:p>
        </w:tc>
        <w:tc>
          <w:tcPr>
            <w:tcW w:w="1445" w:type="pct"/>
            <w:vMerge w:val="restart"/>
            <w:noWrap w:val="0"/>
            <w:vAlign w:val="center"/>
          </w:tcPr>
          <w:p w14:paraId="5640532B">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统一外运至和县生活垃圾卫生填埋场填埋</w:t>
            </w:r>
          </w:p>
        </w:tc>
        <w:tc>
          <w:tcPr>
            <w:tcW w:w="625" w:type="pct"/>
            <w:noWrap w:val="0"/>
            <w:vAlign w:val="center"/>
          </w:tcPr>
          <w:p w14:paraId="00A04C82">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w:t>
            </w:r>
          </w:p>
        </w:tc>
      </w:tr>
      <w:tr w14:paraId="3D0AB9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274" w:type="pct"/>
            <w:noWrap w:val="0"/>
            <w:vAlign w:val="center"/>
          </w:tcPr>
          <w:p w14:paraId="7D6C61FD">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p>
        </w:tc>
        <w:tc>
          <w:tcPr>
            <w:tcW w:w="548" w:type="pct"/>
            <w:noWrap w:val="0"/>
            <w:vAlign w:val="center"/>
          </w:tcPr>
          <w:p w14:paraId="40563A42">
            <w:pPr>
              <w:pStyle w:val="36"/>
              <w:keepNext w:val="0"/>
              <w:keepLines w:val="0"/>
              <w:pageBreakBefore w:val="0"/>
              <w:kinsoku/>
              <w:wordWrap/>
              <w:overflowPunct/>
              <w:topLinePunct w:val="0"/>
              <w:autoSpaceDE/>
              <w:autoSpaceDN/>
              <w:bidi w:val="0"/>
              <w:adjustRightInd/>
              <w:snapToGrid w:val="0"/>
              <w:spacing w:line="240" w:lineRule="auto"/>
              <w:ind w:left="-120" w:leftChars="-50" w:right="-120" w:rightChars="-50"/>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沉砂</w:t>
            </w:r>
          </w:p>
        </w:tc>
        <w:tc>
          <w:tcPr>
            <w:tcW w:w="771" w:type="pct"/>
            <w:noWrap w:val="0"/>
            <w:vAlign w:val="center"/>
          </w:tcPr>
          <w:p w14:paraId="7114461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一般固废</w:t>
            </w:r>
          </w:p>
        </w:tc>
        <w:tc>
          <w:tcPr>
            <w:tcW w:w="420" w:type="pct"/>
            <w:noWrap w:val="0"/>
            <w:vAlign w:val="center"/>
          </w:tcPr>
          <w:p w14:paraId="08F6F574">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固态</w:t>
            </w:r>
          </w:p>
        </w:tc>
        <w:tc>
          <w:tcPr>
            <w:tcW w:w="399" w:type="pct"/>
            <w:vMerge w:val="continue"/>
            <w:noWrap w:val="0"/>
            <w:vAlign w:val="center"/>
          </w:tcPr>
          <w:p w14:paraId="207A8A75">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p>
        </w:tc>
        <w:tc>
          <w:tcPr>
            <w:tcW w:w="513" w:type="pct"/>
            <w:noWrap w:val="0"/>
            <w:vAlign w:val="center"/>
          </w:tcPr>
          <w:p w14:paraId="1F7790CD">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36.6</w:t>
            </w:r>
          </w:p>
        </w:tc>
        <w:tc>
          <w:tcPr>
            <w:tcW w:w="1445" w:type="pct"/>
            <w:vMerge w:val="continue"/>
            <w:noWrap w:val="0"/>
            <w:vAlign w:val="center"/>
          </w:tcPr>
          <w:p w14:paraId="5CC65E4C">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625" w:type="pct"/>
            <w:noWrap w:val="0"/>
            <w:vAlign w:val="center"/>
          </w:tcPr>
          <w:p w14:paraId="3BEEB704">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w:t>
            </w:r>
          </w:p>
        </w:tc>
      </w:tr>
      <w:tr w14:paraId="560152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4" w:type="pct"/>
            <w:noWrap w:val="0"/>
            <w:vAlign w:val="center"/>
          </w:tcPr>
          <w:p w14:paraId="001726CB">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w:t>
            </w:r>
          </w:p>
        </w:tc>
        <w:tc>
          <w:tcPr>
            <w:tcW w:w="548" w:type="pct"/>
            <w:noWrap w:val="0"/>
            <w:vAlign w:val="center"/>
          </w:tcPr>
          <w:p w14:paraId="54F4DC4D">
            <w:pPr>
              <w:pStyle w:val="36"/>
              <w:keepNext w:val="0"/>
              <w:keepLines w:val="0"/>
              <w:pageBreakBefore w:val="0"/>
              <w:kinsoku/>
              <w:wordWrap/>
              <w:overflowPunct/>
              <w:topLinePunct w:val="0"/>
              <w:autoSpaceDE/>
              <w:autoSpaceDN/>
              <w:bidi w:val="0"/>
              <w:adjustRightInd/>
              <w:snapToGrid w:val="0"/>
              <w:spacing w:line="240" w:lineRule="auto"/>
              <w:ind w:left="-120" w:leftChars="-50" w:right="-120" w:rightChars="-5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物化污泥</w:t>
            </w:r>
          </w:p>
        </w:tc>
        <w:tc>
          <w:tcPr>
            <w:tcW w:w="771" w:type="pct"/>
            <w:noWrap w:val="0"/>
            <w:vAlign w:val="center"/>
          </w:tcPr>
          <w:p w14:paraId="2BE87F07">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一般固废</w:t>
            </w:r>
          </w:p>
        </w:tc>
        <w:tc>
          <w:tcPr>
            <w:tcW w:w="420" w:type="pct"/>
            <w:noWrap w:val="0"/>
            <w:vAlign w:val="center"/>
          </w:tcPr>
          <w:p w14:paraId="3DCBB20F">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固态</w:t>
            </w:r>
          </w:p>
        </w:tc>
        <w:tc>
          <w:tcPr>
            <w:tcW w:w="399" w:type="pct"/>
            <w:vMerge w:val="restart"/>
            <w:noWrap w:val="0"/>
            <w:vAlign w:val="center"/>
          </w:tcPr>
          <w:p w14:paraId="48F32259">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危废库</w:t>
            </w:r>
          </w:p>
        </w:tc>
        <w:tc>
          <w:tcPr>
            <w:tcW w:w="513" w:type="pct"/>
            <w:noWrap w:val="0"/>
            <w:vAlign w:val="center"/>
          </w:tcPr>
          <w:p w14:paraId="7D96F2E3">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99.85</w:t>
            </w:r>
          </w:p>
        </w:tc>
        <w:tc>
          <w:tcPr>
            <w:tcW w:w="1445" w:type="pct"/>
            <w:vMerge w:val="restart"/>
            <w:noWrap w:val="0"/>
            <w:vAlign w:val="center"/>
          </w:tcPr>
          <w:p w14:paraId="087BF54B">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委托和县第一污水处理厂处理干化</w:t>
            </w:r>
          </w:p>
        </w:tc>
        <w:tc>
          <w:tcPr>
            <w:tcW w:w="625" w:type="pct"/>
            <w:noWrap w:val="0"/>
            <w:vAlign w:val="center"/>
          </w:tcPr>
          <w:p w14:paraId="41F3B9FC">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w:t>
            </w:r>
          </w:p>
        </w:tc>
      </w:tr>
      <w:tr w14:paraId="059211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4" w:type="pct"/>
            <w:noWrap w:val="0"/>
            <w:vAlign w:val="center"/>
          </w:tcPr>
          <w:p w14:paraId="38CC3476">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w:t>
            </w:r>
          </w:p>
        </w:tc>
        <w:tc>
          <w:tcPr>
            <w:tcW w:w="548" w:type="pct"/>
            <w:noWrap w:val="0"/>
            <w:vAlign w:val="center"/>
          </w:tcPr>
          <w:p w14:paraId="25B3298D">
            <w:pPr>
              <w:pStyle w:val="36"/>
              <w:keepNext w:val="0"/>
              <w:keepLines w:val="0"/>
              <w:pageBreakBefore w:val="0"/>
              <w:kinsoku/>
              <w:wordWrap/>
              <w:overflowPunct/>
              <w:topLinePunct w:val="0"/>
              <w:autoSpaceDE/>
              <w:autoSpaceDN/>
              <w:bidi w:val="0"/>
              <w:adjustRightInd/>
              <w:snapToGrid w:val="0"/>
              <w:spacing w:line="240" w:lineRule="auto"/>
              <w:ind w:left="-120" w:leftChars="-50" w:right="-120" w:rightChars="-5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生化污泥</w:t>
            </w:r>
          </w:p>
        </w:tc>
        <w:tc>
          <w:tcPr>
            <w:tcW w:w="771" w:type="pct"/>
            <w:noWrap w:val="0"/>
            <w:vAlign w:val="center"/>
          </w:tcPr>
          <w:p w14:paraId="75DDFCA6">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一般固废</w:t>
            </w:r>
          </w:p>
        </w:tc>
        <w:tc>
          <w:tcPr>
            <w:tcW w:w="420" w:type="pct"/>
            <w:noWrap w:val="0"/>
            <w:vAlign w:val="center"/>
          </w:tcPr>
          <w:p w14:paraId="7373779B">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固态</w:t>
            </w:r>
          </w:p>
        </w:tc>
        <w:tc>
          <w:tcPr>
            <w:tcW w:w="399" w:type="pct"/>
            <w:vMerge w:val="continue"/>
            <w:noWrap w:val="0"/>
            <w:vAlign w:val="center"/>
          </w:tcPr>
          <w:p w14:paraId="38C90C50">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p>
        </w:tc>
        <w:tc>
          <w:tcPr>
            <w:tcW w:w="513" w:type="pct"/>
            <w:noWrap w:val="0"/>
            <w:vAlign w:val="center"/>
          </w:tcPr>
          <w:p w14:paraId="33B1B871">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1387.6</w:t>
            </w:r>
          </w:p>
        </w:tc>
        <w:tc>
          <w:tcPr>
            <w:tcW w:w="1445" w:type="pct"/>
            <w:vMerge w:val="continue"/>
            <w:noWrap w:val="0"/>
            <w:vAlign w:val="center"/>
          </w:tcPr>
          <w:p w14:paraId="075A25CA">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625" w:type="pct"/>
            <w:noWrap w:val="0"/>
            <w:vAlign w:val="center"/>
          </w:tcPr>
          <w:p w14:paraId="772DC421">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w:t>
            </w:r>
          </w:p>
        </w:tc>
      </w:tr>
      <w:tr w14:paraId="7081A9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4" w:type="pct"/>
            <w:noWrap w:val="0"/>
            <w:vAlign w:val="center"/>
          </w:tcPr>
          <w:p w14:paraId="4EDD5B85">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5</w:t>
            </w:r>
          </w:p>
        </w:tc>
        <w:tc>
          <w:tcPr>
            <w:tcW w:w="548" w:type="pct"/>
            <w:noWrap w:val="0"/>
            <w:vAlign w:val="center"/>
          </w:tcPr>
          <w:p w14:paraId="51CB59C4">
            <w:pPr>
              <w:pStyle w:val="36"/>
              <w:keepNext w:val="0"/>
              <w:keepLines w:val="0"/>
              <w:pageBreakBefore w:val="0"/>
              <w:kinsoku/>
              <w:wordWrap/>
              <w:overflowPunct/>
              <w:topLinePunct w:val="0"/>
              <w:autoSpaceDE/>
              <w:autoSpaceDN/>
              <w:bidi w:val="0"/>
              <w:adjustRightInd/>
              <w:snapToGrid w:val="0"/>
              <w:spacing w:line="240" w:lineRule="auto"/>
              <w:ind w:left="-120" w:leftChars="-50" w:right="-120" w:rightChars="-5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废润滑油</w:t>
            </w:r>
          </w:p>
        </w:tc>
        <w:tc>
          <w:tcPr>
            <w:tcW w:w="771" w:type="pct"/>
            <w:noWrap w:val="0"/>
            <w:vAlign w:val="center"/>
          </w:tcPr>
          <w:p w14:paraId="3AD7878C">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危废库</w:t>
            </w:r>
          </w:p>
        </w:tc>
        <w:tc>
          <w:tcPr>
            <w:tcW w:w="420" w:type="pct"/>
            <w:noWrap w:val="0"/>
            <w:vAlign w:val="center"/>
          </w:tcPr>
          <w:p w14:paraId="439C8257">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液态</w:t>
            </w:r>
          </w:p>
        </w:tc>
        <w:tc>
          <w:tcPr>
            <w:tcW w:w="399" w:type="pct"/>
            <w:vMerge w:val="continue"/>
            <w:noWrap w:val="0"/>
            <w:vAlign w:val="center"/>
          </w:tcPr>
          <w:p w14:paraId="179A8D17">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p>
        </w:tc>
        <w:tc>
          <w:tcPr>
            <w:tcW w:w="513" w:type="pct"/>
            <w:shd w:val="clear" w:color="auto" w:fill="auto"/>
            <w:noWrap w:val="0"/>
            <w:vAlign w:val="center"/>
          </w:tcPr>
          <w:p w14:paraId="4C5AD6F1">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0.01</w:t>
            </w:r>
          </w:p>
        </w:tc>
        <w:tc>
          <w:tcPr>
            <w:tcW w:w="1445" w:type="pct"/>
            <w:noWrap w:val="0"/>
            <w:vAlign w:val="center"/>
          </w:tcPr>
          <w:p w14:paraId="44B4F040">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委托有资质的单位处置</w:t>
            </w:r>
          </w:p>
        </w:tc>
        <w:tc>
          <w:tcPr>
            <w:tcW w:w="625" w:type="pct"/>
            <w:noWrap w:val="0"/>
            <w:vAlign w:val="center"/>
          </w:tcPr>
          <w:p w14:paraId="3E484DF9">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r>
    </w:tbl>
    <w:p w14:paraId="785A8D39">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1"/>
        <w:rPr>
          <w:rFonts w:hint="eastAsia" w:ascii="宋体" w:hAnsi="宋体" w:eastAsia="宋体" w:cs="宋体"/>
          <w:b/>
          <w:bCs/>
          <w:color w:val="000000" w:themeColor="text1"/>
          <w:kern w:val="0"/>
          <w:sz w:val="28"/>
          <w:szCs w:val="28"/>
          <w:lang w:val="en-US" w:eastAsia="zh-CN" w:bidi="ar"/>
          <w14:textFill>
            <w14:solidFill>
              <w14:schemeClr w14:val="tx1"/>
            </w14:solidFill>
          </w14:textFill>
        </w:rPr>
      </w:pPr>
      <w:bookmarkStart w:id="35" w:name="_Toc4396"/>
      <w:r>
        <w:rPr>
          <w:rFonts w:hint="eastAsia" w:ascii="宋体" w:hAnsi="宋体" w:eastAsia="宋体" w:cs="宋体"/>
          <w:b/>
          <w:bCs/>
          <w:color w:val="000000" w:themeColor="text1"/>
          <w:kern w:val="0"/>
          <w:sz w:val="28"/>
          <w:szCs w:val="28"/>
          <w:lang w:val="en-US" w:eastAsia="zh-CN" w:bidi="ar"/>
          <w14:textFill>
            <w14:solidFill>
              <w14:schemeClr w14:val="tx1"/>
            </w14:solidFill>
          </w14:textFill>
        </w:rPr>
        <w:t>4.2  地下水污染控制措施</w:t>
      </w:r>
      <w:bookmarkEnd w:id="35"/>
    </w:p>
    <w:p w14:paraId="412D515E">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对地下水的主要影响途径是项目污水处理设施发生渗漏，如不采取合理的防治措施，有可能</w:t>
      </w:r>
      <w:r>
        <w:rPr>
          <w:rFonts w:hint="eastAsia" w:ascii="宋体" w:hAnsi="宋体" w:cs="宋体"/>
          <w:color w:val="000000" w:themeColor="text1"/>
          <w:sz w:val="24"/>
          <w:szCs w:val="24"/>
          <w:lang w:val="en-US" w:eastAsia="zh-CN"/>
          <w14:textFill>
            <w14:solidFill>
              <w14:schemeClr w14:val="tx1"/>
            </w14:solidFill>
          </w14:textFill>
        </w:rPr>
        <w:t>渗入</w:t>
      </w:r>
      <w:r>
        <w:rPr>
          <w:rFonts w:hint="eastAsia" w:ascii="宋体" w:hAnsi="宋体" w:eastAsia="宋体" w:cs="宋体"/>
          <w:color w:val="000000" w:themeColor="text1"/>
          <w:sz w:val="24"/>
          <w:szCs w:val="24"/>
          <w:lang w:val="en-US" w:eastAsia="zh-CN"/>
          <w14:textFill>
            <w14:solidFill>
              <w14:schemeClr w14:val="tx1"/>
            </w14:solidFill>
          </w14:textFill>
        </w:rPr>
        <w:t>地下水，从而可能对地下水环境带来不利影响。项目采取的防渗措施如下</w:t>
      </w:r>
      <w:r>
        <w:rPr>
          <w:rFonts w:hint="eastAsia" w:ascii="宋体" w:hAnsi="宋体" w:cs="宋体"/>
          <w:color w:val="000000" w:themeColor="text1"/>
          <w:sz w:val="24"/>
          <w:szCs w:val="24"/>
          <w:lang w:val="en-US" w:eastAsia="zh-CN"/>
          <w14:textFill>
            <w14:solidFill>
              <w14:schemeClr w14:val="tx1"/>
            </w14:solidFill>
          </w14:textFill>
        </w:rPr>
        <w:t>。</w:t>
      </w:r>
    </w:p>
    <w:p w14:paraId="0AFC369F">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rPr>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4.2.1 源头控制</w:t>
      </w:r>
    </w:p>
    <w:p w14:paraId="056756DD">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项目采用了先进的污水处理工艺、优质的管道、设备和污水储存设施。严格按照国家相关规范要求，对污水管道和处理构筑物，进行防渗处理。</w:t>
      </w:r>
    </w:p>
    <w:p w14:paraId="59FB635A">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4.2.2  分区防治</w:t>
      </w:r>
    </w:p>
    <w:p w14:paraId="045DC51F">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pPr>
      <w:r>
        <w:rPr>
          <w:rFonts w:hint="eastAsia" w:ascii="宋体" w:hAnsi="宋体" w:eastAsia="宋体" w:cs="宋体"/>
          <w:color w:val="000000"/>
          <w:kern w:val="0"/>
          <w:sz w:val="24"/>
          <w:szCs w:val="24"/>
          <w:lang w:val="en-US" w:eastAsia="zh-CN" w:bidi="ar"/>
        </w:rPr>
        <w:t>项目重点污染防渗区为曝气沉砂池、水解酸化池、改良AAO氧化沟、二沉池、污泥泵池</w:t>
      </w:r>
      <w:r>
        <w:rPr>
          <w:rFonts w:hint="eastAsia" w:ascii="宋体" w:hAnsi="宋体" w:cs="宋体"/>
          <w:color w:val="000000"/>
          <w:kern w:val="0"/>
          <w:sz w:val="24"/>
          <w:szCs w:val="24"/>
          <w:lang w:val="en-US" w:eastAsia="zh-CN" w:bidi="ar"/>
        </w:rPr>
        <w:t>、</w:t>
      </w:r>
      <w:r>
        <w:rPr>
          <w:rFonts w:hint="eastAsia" w:ascii="宋体" w:hAnsi="宋体" w:eastAsia="宋体" w:cs="宋体"/>
          <w:color w:val="000000" w:themeColor="text1"/>
          <w:sz w:val="24"/>
          <w:szCs w:val="24"/>
          <w:lang w:val="en-US" w:eastAsia="zh-CN"/>
          <w14:textFill>
            <w14:solidFill>
              <w14:schemeClr w14:val="tx1"/>
            </w14:solidFill>
          </w14:textFill>
        </w:rPr>
        <w:t>混凝除氟沉淀系统</w:t>
      </w:r>
      <w:r>
        <w:rPr>
          <w:rFonts w:hint="eastAsia" w:ascii="宋体" w:hAnsi="宋体" w:eastAsia="宋体" w:cs="宋体"/>
          <w:color w:val="000000"/>
          <w:kern w:val="0"/>
          <w:sz w:val="24"/>
          <w:szCs w:val="24"/>
          <w:lang w:val="en-US" w:eastAsia="zh-CN" w:bidi="ar"/>
        </w:rPr>
        <w:t>等。该区域防渗技术要求：等效黏土防渗层Mb≥6.0m，K≤1×10</w:t>
      </w:r>
      <w:r>
        <w:rPr>
          <w:rFonts w:hint="eastAsia" w:ascii="宋体" w:hAnsi="宋体" w:eastAsia="宋体" w:cs="宋体"/>
          <w:color w:val="000000"/>
          <w:kern w:val="0"/>
          <w:sz w:val="24"/>
          <w:szCs w:val="24"/>
          <w:vertAlign w:val="superscript"/>
          <w:lang w:val="en-US" w:eastAsia="zh-CN" w:bidi="ar"/>
        </w:rPr>
        <w:t>-7</w:t>
      </w:r>
      <w:r>
        <w:rPr>
          <w:rFonts w:hint="eastAsia" w:ascii="宋体" w:hAnsi="宋体" w:eastAsia="宋体" w:cs="宋体"/>
          <w:color w:val="000000"/>
          <w:kern w:val="0"/>
          <w:sz w:val="24"/>
          <w:szCs w:val="24"/>
          <w:lang w:val="en-US" w:eastAsia="zh-CN" w:bidi="ar"/>
        </w:rPr>
        <w:t>cm/s；或参照GB18598执行。对于重点污染防治区的构筑物宜采用抗渗满足规范要求的混凝土，池体内表面涂刷水泥基渗透结晶型防渗涂料。同时，构筑物施工完毕后，需进行</w:t>
      </w:r>
      <w:r>
        <w:rPr>
          <w:rFonts w:hint="eastAsia" w:ascii="宋体" w:hAnsi="宋体" w:cs="宋体"/>
          <w:color w:val="000000"/>
          <w:kern w:val="0"/>
          <w:sz w:val="24"/>
          <w:szCs w:val="24"/>
          <w:lang w:val="en-US" w:eastAsia="zh-CN" w:bidi="ar"/>
        </w:rPr>
        <w:t>浸水实验</w:t>
      </w:r>
      <w:r>
        <w:rPr>
          <w:rFonts w:hint="eastAsia" w:ascii="宋体" w:hAnsi="宋体" w:eastAsia="宋体" w:cs="宋体"/>
          <w:color w:val="000000"/>
          <w:kern w:val="0"/>
          <w:sz w:val="24"/>
          <w:szCs w:val="24"/>
          <w:lang w:val="en-US" w:eastAsia="zh-CN" w:bidi="ar"/>
        </w:rPr>
        <w:t>以检测其渗漏情况，对于水池结构，规范不允许其漏水，若有漏水情况的发生，必须修复至不漏水。伸缩缝位置处财务双道渗漏情况进行检查，不允许管道发生泄漏。同时为了避免管道在接口处由于外侧地下水头较高，地下</w:t>
      </w:r>
    </w:p>
    <w:p w14:paraId="68878518">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auto"/>
      </w:pPr>
      <w:r>
        <w:rPr>
          <w:rFonts w:hint="eastAsia" w:ascii="宋体" w:hAnsi="宋体" w:eastAsia="宋体" w:cs="宋体"/>
          <w:color w:val="000000"/>
          <w:kern w:val="0"/>
          <w:sz w:val="24"/>
          <w:szCs w:val="24"/>
          <w:lang w:val="en-US" w:eastAsia="zh-CN" w:bidi="ar"/>
        </w:rPr>
        <w:t>水渗入管道（污水管道通常为非满管的重力流），造成局部土体掏空，引起管道沉降开裂，最终破坏，在接口位置处可包裹无纺土工布。</w:t>
      </w:r>
    </w:p>
    <w:p w14:paraId="0E8CD306">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一般污染防渗区主要包括泵房、加药间、鼓风机房、变配电房、机修间等。采用一般地面硬化。</w:t>
      </w:r>
    </w:p>
    <w:p w14:paraId="7CB455EC">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简单防渗区指一般和重点污染防渗区以外的区域或部位，主要包括办公区、绿化区等。</w:t>
      </w:r>
    </w:p>
    <w:p w14:paraId="5067DB87">
      <w:pPr>
        <w:jc w:val="center"/>
        <w:rPr>
          <w:rFonts w:hint="eastAsia" w:ascii="宋体" w:hAnsi="宋体" w:eastAsia="宋体" w:cs="宋体"/>
          <w:b/>
          <w:bCs/>
          <w:color w:val="000000" w:themeColor="text1"/>
          <w:sz w:val="24"/>
          <w:lang w:val="en-US" w:eastAsia="zh-CN"/>
          <w14:textFill>
            <w14:solidFill>
              <w14:schemeClr w14:val="tx1"/>
            </w14:solidFill>
          </w14:textFill>
        </w:rPr>
      </w:pPr>
    </w:p>
    <w:p w14:paraId="184175FB">
      <w:pPr>
        <w:jc w:val="center"/>
        <w:rPr>
          <w:rFonts w:hint="eastAsia" w:ascii="宋体" w:hAnsi="宋体" w:eastAsia="宋体" w:cs="宋体"/>
          <w:b/>
          <w:bCs/>
          <w:color w:val="000000" w:themeColor="text1"/>
          <w:sz w:val="24"/>
          <w:lang w:val="en-US" w:eastAsia="zh-CN"/>
          <w14:textFill>
            <w14:solidFill>
              <w14:schemeClr w14:val="tx1"/>
            </w14:solidFill>
          </w14:textFill>
        </w:rPr>
      </w:pPr>
    </w:p>
    <w:p w14:paraId="3C92106A">
      <w:pPr>
        <w:jc w:val="center"/>
        <w:rPr>
          <w:rFonts w:hint="eastAsia"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lang w:val="en-US" w:eastAsia="zh-CN"/>
          <w14:textFill>
            <w14:solidFill>
              <w14:schemeClr w14:val="tx1"/>
            </w14:solidFill>
          </w14:textFill>
        </w:rPr>
        <w:t>表4.2-1  厂区分区防渗内容汇总表</w:t>
      </w:r>
    </w:p>
    <w:tbl>
      <w:tblPr>
        <w:tblStyle w:val="19"/>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08"/>
        <w:gridCol w:w="2217"/>
        <w:gridCol w:w="3320"/>
        <w:gridCol w:w="1874"/>
      </w:tblGrid>
      <w:tr w14:paraId="03653B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0" w:type="pct"/>
            <w:noWrap w:val="0"/>
            <w:vAlign w:val="center"/>
          </w:tcPr>
          <w:p w14:paraId="213B4B26">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000000" w:themeColor="text1"/>
                <w:sz w:val="21"/>
                <w:szCs w:val="21"/>
                <w:lang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类别</w:t>
            </w:r>
          </w:p>
        </w:tc>
        <w:tc>
          <w:tcPr>
            <w:tcW w:w="1301" w:type="pct"/>
            <w:noWrap w:val="0"/>
            <w:vAlign w:val="center"/>
          </w:tcPr>
          <w:p w14:paraId="691EC941">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000000" w:themeColor="text1"/>
                <w:sz w:val="21"/>
                <w:szCs w:val="21"/>
                <w:lang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区域</w:t>
            </w:r>
          </w:p>
        </w:tc>
        <w:tc>
          <w:tcPr>
            <w:tcW w:w="1948" w:type="pct"/>
            <w:noWrap w:val="0"/>
            <w:vAlign w:val="center"/>
          </w:tcPr>
          <w:p w14:paraId="24CBC31A">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防渗方法</w:t>
            </w:r>
          </w:p>
        </w:tc>
        <w:tc>
          <w:tcPr>
            <w:tcW w:w="1099" w:type="pct"/>
            <w:noWrap w:val="0"/>
            <w:vAlign w:val="center"/>
          </w:tcPr>
          <w:p w14:paraId="34CDCC1E">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000000" w:themeColor="text1"/>
                <w:sz w:val="21"/>
                <w:szCs w:val="21"/>
                <w:lang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渗透系数</w:t>
            </w:r>
          </w:p>
        </w:tc>
      </w:tr>
      <w:tr w14:paraId="322CD6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0" w:type="pct"/>
            <w:noWrap w:val="0"/>
            <w:vAlign w:val="center"/>
          </w:tcPr>
          <w:p w14:paraId="6096A1AC">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重点污染防渗区</w:t>
            </w:r>
          </w:p>
        </w:tc>
        <w:tc>
          <w:tcPr>
            <w:tcW w:w="1301" w:type="pct"/>
            <w:noWrap w:val="0"/>
            <w:vAlign w:val="center"/>
          </w:tcPr>
          <w:p w14:paraId="2F6BE6E9">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曝气沉砂池、水解酸化池、改良AAO氧化沟、二沉池、污泥泵池、混凝除氟沉淀系统等</w:t>
            </w:r>
          </w:p>
        </w:tc>
        <w:tc>
          <w:tcPr>
            <w:tcW w:w="1948" w:type="pct"/>
            <w:noWrap w:val="0"/>
            <w:vAlign w:val="center"/>
          </w:tcPr>
          <w:p w14:paraId="394F1B45">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构筑物采用抗渗等级满足规范要求的混凝土，池体内表面涂刷水泥基渗透结晶型防渗涂料；伸缩缝位置处采取双道止水复合防渗保护</w:t>
            </w:r>
          </w:p>
        </w:tc>
        <w:tc>
          <w:tcPr>
            <w:tcW w:w="1099" w:type="pct"/>
            <w:noWrap w:val="0"/>
            <w:vAlign w:val="center"/>
          </w:tcPr>
          <w:p w14:paraId="5FE373D9">
            <w:pPr>
              <w:keepNext w:val="0"/>
              <w:keepLines w:val="0"/>
              <w:pageBreakBefore w:val="0"/>
              <w:kinsoku/>
              <w:wordWrap/>
              <w:overflowPunct/>
              <w:topLinePunct w:val="0"/>
              <w:autoSpaceDE/>
              <w:autoSpaceDN/>
              <w:bidi w:val="0"/>
              <w:adjustRightInd/>
              <w:snapToGrid w:val="0"/>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Mb≥6.0m</w:t>
            </w:r>
            <w:r>
              <w:rPr>
                <w:rFonts w:hint="eastAsia" w:ascii="宋体" w:hAnsi="宋体" w:cs="宋体"/>
                <w:color w:val="000000" w:themeColor="text1"/>
                <w:kern w:val="0"/>
                <w:sz w:val="21"/>
                <w:szCs w:val="21"/>
                <w:lang w:val="en-US" w:eastAsia="zh-CN" w:bidi="ar"/>
                <w14:textFill>
                  <w14:solidFill>
                    <w14:schemeClr w14:val="tx1"/>
                  </w14:solidFill>
                </w14:textFill>
              </w:rPr>
              <w:t>,</w:t>
            </w:r>
            <w:r>
              <w:rPr>
                <w:rFonts w:hint="eastAsia" w:ascii="宋体" w:hAnsi="宋体" w:eastAsia="宋体" w:cs="宋体"/>
                <w:color w:val="000000" w:themeColor="text1"/>
                <w:kern w:val="0"/>
                <w:sz w:val="21"/>
                <w:szCs w:val="21"/>
                <w:lang w:val="en-US" w:eastAsia="zh-CN" w:bidi="ar"/>
                <w14:textFill>
                  <w14:solidFill>
                    <w14:schemeClr w14:val="tx1"/>
                  </w14:solidFill>
                </w14:textFill>
              </w:rPr>
              <w:t>K≤1×10</w:t>
            </w:r>
            <w:r>
              <w:rPr>
                <w:rFonts w:hint="eastAsia" w:ascii="宋体" w:hAnsi="宋体" w:eastAsia="宋体" w:cs="宋体"/>
                <w:color w:val="000000" w:themeColor="text1"/>
                <w:kern w:val="0"/>
                <w:sz w:val="21"/>
                <w:szCs w:val="21"/>
                <w:vertAlign w:val="superscript"/>
                <w:lang w:val="en-US" w:eastAsia="zh-CN" w:bidi="ar"/>
                <w14:textFill>
                  <w14:solidFill>
                    <w14:schemeClr w14:val="tx1"/>
                  </w14:solidFill>
                </w14:textFill>
              </w:rPr>
              <w:t>-7</w:t>
            </w:r>
            <w:r>
              <w:rPr>
                <w:rFonts w:hint="eastAsia" w:ascii="宋体" w:hAnsi="宋体" w:eastAsia="宋体" w:cs="宋体"/>
                <w:color w:val="000000" w:themeColor="text1"/>
                <w:kern w:val="0"/>
                <w:sz w:val="21"/>
                <w:szCs w:val="21"/>
                <w:lang w:val="en-US" w:eastAsia="zh-CN" w:bidi="ar"/>
                <w14:textFill>
                  <w14:solidFill>
                    <w14:schemeClr w14:val="tx1"/>
                  </w14:solidFill>
                </w14:textFill>
              </w:rPr>
              <w:t>cm/s</w:t>
            </w:r>
          </w:p>
        </w:tc>
      </w:tr>
      <w:tr w14:paraId="276165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50" w:type="pct"/>
            <w:noWrap w:val="0"/>
            <w:vAlign w:val="center"/>
          </w:tcPr>
          <w:p w14:paraId="2E374891">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一般防渗区</w:t>
            </w:r>
          </w:p>
        </w:tc>
        <w:tc>
          <w:tcPr>
            <w:tcW w:w="1301" w:type="pct"/>
            <w:noWrap w:val="0"/>
            <w:vAlign w:val="center"/>
          </w:tcPr>
          <w:p w14:paraId="1791C840">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办公区、绿化区等</w:t>
            </w:r>
          </w:p>
        </w:tc>
        <w:tc>
          <w:tcPr>
            <w:tcW w:w="1948" w:type="pct"/>
            <w:noWrap w:val="0"/>
            <w:vAlign w:val="center"/>
          </w:tcPr>
          <w:p w14:paraId="6F1F2CBA">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一般地面硬化</w:t>
            </w:r>
          </w:p>
        </w:tc>
        <w:tc>
          <w:tcPr>
            <w:tcW w:w="1099" w:type="pct"/>
            <w:noWrap w:val="0"/>
            <w:vAlign w:val="center"/>
          </w:tcPr>
          <w:p w14:paraId="21C5F08E">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w:t>
            </w:r>
          </w:p>
        </w:tc>
      </w:tr>
    </w:tbl>
    <w:p w14:paraId="2944863F">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4.2.3 定期监测</w:t>
      </w:r>
    </w:p>
    <w:p w14:paraId="3EDC672A">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按照许可证的要求定期开展地下水监测，分析地下水的污染趋势，采取有效控制措施。</w:t>
      </w:r>
    </w:p>
    <w:p w14:paraId="7B145FF0">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1"/>
        <w:rPr>
          <w:rFonts w:hint="eastAsia" w:ascii="宋体" w:hAnsi="宋体" w:eastAsia="宋体" w:cs="宋体"/>
          <w:b/>
          <w:bCs/>
          <w:color w:val="000000"/>
          <w:kern w:val="0"/>
          <w:sz w:val="28"/>
          <w:szCs w:val="28"/>
          <w:lang w:val="en-US" w:eastAsia="zh-CN" w:bidi="ar"/>
        </w:rPr>
      </w:pPr>
      <w:bookmarkStart w:id="36" w:name="_Toc18513"/>
      <w:r>
        <w:rPr>
          <w:rFonts w:hint="eastAsia" w:ascii="宋体" w:hAnsi="宋体" w:eastAsia="宋体" w:cs="宋体"/>
          <w:b/>
          <w:bCs/>
          <w:color w:val="000000"/>
          <w:kern w:val="0"/>
          <w:sz w:val="28"/>
          <w:szCs w:val="28"/>
          <w:lang w:val="en-US" w:eastAsia="zh-CN" w:bidi="ar"/>
        </w:rPr>
        <w:t>4.3  土壤污染防治措施</w:t>
      </w:r>
      <w:bookmarkEnd w:id="36"/>
      <w:r>
        <w:rPr>
          <w:rFonts w:hint="eastAsia" w:ascii="宋体" w:hAnsi="宋体" w:eastAsia="宋体" w:cs="宋体"/>
          <w:b/>
          <w:bCs/>
          <w:color w:val="000000"/>
          <w:kern w:val="0"/>
          <w:sz w:val="28"/>
          <w:szCs w:val="28"/>
          <w:lang w:val="en-US" w:eastAsia="zh-CN" w:bidi="ar"/>
        </w:rPr>
        <w:t xml:space="preserve"> </w:t>
      </w:r>
    </w:p>
    <w:p w14:paraId="75FE8A7C">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（1）源头控制措施</w:t>
      </w:r>
    </w:p>
    <w:p w14:paraId="02754797">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防渗预防措施：防渗预防措施主要为分区防渗，本项目主要区域均进行硬化和防渗处理。</w:t>
      </w:r>
    </w:p>
    <w:p w14:paraId="7E6BDC3C">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（2）加强管理，减少污染物的跑、冒、滴、漏，定期开展土壤环境质量监测。</w:t>
      </w:r>
    </w:p>
    <w:p w14:paraId="7F8ED482">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1"/>
        <w:rPr>
          <w:rFonts w:hint="eastAsia" w:ascii="宋体" w:hAnsi="宋体" w:eastAsia="宋体" w:cs="宋体"/>
          <w:b/>
          <w:bCs/>
          <w:color w:val="000000"/>
          <w:kern w:val="0"/>
          <w:sz w:val="28"/>
          <w:szCs w:val="28"/>
          <w:lang w:val="en-US" w:eastAsia="zh-CN" w:bidi="ar"/>
        </w:rPr>
      </w:pPr>
      <w:bookmarkStart w:id="37" w:name="_Toc16159"/>
      <w:r>
        <w:rPr>
          <w:rFonts w:hint="eastAsia" w:ascii="宋体" w:hAnsi="宋体" w:eastAsia="宋体" w:cs="宋体"/>
          <w:b/>
          <w:bCs/>
          <w:color w:val="000000"/>
          <w:kern w:val="0"/>
          <w:sz w:val="28"/>
          <w:szCs w:val="28"/>
          <w:lang w:val="en-US" w:eastAsia="zh-CN" w:bidi="ar"/>
        </w:rPr>
        <w:t>4.4  环境风险防范措施</w:t>
      </w:r>
      <w:bookmarkEnd w:id="37"/>
      <w:r>
        <w:rPr>
          <w:rFonts w:hint="eastAsia" w:ascii="宋体" w:hAnsi="宋体" w:eastAsia="宋体" w:cs="宋体"/>
          <w:b/>
          <w:bCs/>
          <w:color w:val="000000"/>
          <w:kern w:val="0"/>
          <w:sz w:val="28"/>
          <w:szCs w:val="28"/>
          <w:lang w:val="en-US" w:eastAsia="zh-CN" w:bidi="ar"/>
        </w:rPr>
        <w:t xml:space="preserve"> </w:t>
      </w:r>
    </w:p>
    <w:p w14:paraId="4AD978BF">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公司已安排应急预案的编制，结果评审发布后实施。</w:t>
      </w:r>
    </w:p>
    <w:p w14:paraId="3D405E7D">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1"/>
        <w:rPr>
          <w:rFonts w:hint="eastAsia" w:ascii="宋体" w:hAnsi="宋体" w:eastAsia="宋体" w:cs="宋体"/>
          <w:b/>
          <w:bCs/>
          <w:color w:val="000000"/>
          <w:kern w:val="0"/>
          <w:sz w:val="28"/>
          <w:szCs w:val="28"/>
          <w:lang w:val="en-US" w:eastAsia="zh-CN" w:bidi="ar"/>
        </w:rPr>
      </w:pPr>
      <w:bookmarkStart w:id="38" w:name="_Toc32238"/>
      <w:r>
        <w:rPr>
          <w:rFonts w:hint="eastAsia" w:ascii="宋体" w:hAnsi="宋体" w:eastAsia="宋体" w:cs="宋体"/>
          <w:b/>
          <w:bCs/>
          <w:color w:val="000000"/>
          <w:kern w:val="0"/>
          <w:sz w:val="28"/>
          <w:szCs w:val="28"/>
          <w:lang w:val="en-US" w:eastAsia="zh-CN" w:bidi="ar"/>
        </w:rPr>
        <w:t>4.5  其他环境保护设施</w:t>
      </w:r>
      <w:bookmarkEnd w:id="38"/>
      <w:r>
        <w:rPr>
          <w:rFonts w:hint="eastAsia" w:ascii="宋体" w:hAnsi="宋体" w:eastAsia="宋体" w:cs="宋体"/>
          <w:b/>
          <w:bCs/>
          <w:color w:val="000000"/>
          <w:kern w:val="0"/>
          <w:sz w:val="28"/>
          <w:szCs w:val="28"/>
          <w:lang w:val="en-US" w:eastAsia="zh-CN" w:bidi="ar"/>
        </w:rPr>
        <w:t xml:space="preserve"> </w:t>
      </w:r>
    </w:p>
    <w:p w14:paraId="1A03F494">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2"/>
        <w:rPr>
          <w:rFonts w:hint="eastAsia" w:ascii="宋体" w:hAnsi="宋体" w:eastAsia="宋体" w:cs="宋体"/>
          <w:b/>
          <w:bCs/>
          <w:color w:val="000000"/>
          <w:kern w:val="0"/>
          <w:sz w:val="24"/>
          <w:szCs w:val="24"/>
          <w:lang w:val="en-US" w:eastAsia="zh-CN" w:bidi="ar"/>
        </w:rPr>
      </w:pPr>
      <w:bookmarkStart w:id="39" w:name="_Toc12298"/>
      <w:r>
        <w:rPr>
          <w:rFonts w:hint="eastAsia" w:ascii="宋体" w:hAnsi="宋体" w:eastAsia="宋体" w:cs="宋体"/>
          <w:b/>
          <w:bCs/>
          <w:color w:val="000000"/>
          <w:kern w:val="0"/>
          <w:sz w:val="24"/>
          <w:szCs w:val="24"/>
          <w:lang w:val="en-US" w:eastAsia="zh-CN" w:bidi="ar"/>
        </w:rPr>
        <w:t>4.5.1  规范化排污口、监测设施及在线监测装置</w:t>
      </w:r>
      <w:bookmarkEnd w:id="39"/>
      <w:r>
        <w:rPr>
          <w:rFonts w:hint="eastAsia" w:ascii="宋体" w:hAnsi="宋体" w:eastAsia="宋体" w:cs="宋体"/>
          <w:b/>
          <w:bCs/>
          <w:color w:val="000000"/>
          <w:kern w:val="0"/>
          <w:sz w:val="24"/>
          <w:szCs w:val="24"/>
          <w:lang w:val="en-US" w:eastAsia="zh-CN" w:bidi="ar"/>
        </w:rPr>
        <w:t xml:space="preserve"> </w:t>
      </w:r>
    </w:p>
    <w:p w14:paraId="09B6E7D0">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厂区有一套臭气治理装置，废气进、出口已经设置规范化的检测平台，具备现场检测条件，废水进、出口安装流量、COD、氨氮在线检测装置，监测数据上传到省、市</w:t>
      </w:r>
      <w:r>
        <w:rPr>
          <w:rFonts w:hint="eastAsia" w:ascii="宋体" w:hAnsi="宋体" w:cs="宋体"/>
          <w:color w:val="000000" w:themeColor="text1"/>
          <w:sz w:val="24"/>
          <w:szCs w:val="24"/>
          <w:lang w:val="en-US" w:eastAsia="zh-CN"/>
          <w14:textFill>
            <w14:solidFill>
              <w14:schemeClr w14:val="tx1"/>
            </w14:solidFill>
          </w14:textFill>
        </w:rPr>
        <w:t>生态环境部</w:t>
      </w:r>
      <w:r>
        <w:rPr>
          <w:rFonts w:hint="eastAsia" w:ascii="宋体" w:hAnsi="宋体" w:eastAsia="宋体" w:cs="宋体"/>
          <w:color w:val="000000" w:themeColor="text1"/>
          <w:sz w:val="24"/>
          <w:szCs w:val="24"/>
          <w:lang w:val="en-US" w:eastAsia="zh-CN"/>
          <w14:textFill>
            <w14:solidFill>
              <w14:schemeClr w14:val="tx1"/>
            </w14:solidFill>
          </w14:textFill>
        </w:rPr>
        <w:t>门。</w:t>
      </w:r>
    </w:p>
    <w:p w14:paraId="7052F8C0">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2"/>
        <w:rPr>
          <w:rFonts w:hint="eastAsia" w:ascii="宋体" w:hAnsi="宋体" w:eastAsia="宋体" w:cs="宋体"/>
          <w:b/>
          <w:bCs/>
          <w:color w:val="000000" w:themeColor="text1"/>
          <w:kern w:val="0"/>
          <w:sz w:val="24"/>
          <w:szCs w:val="24"/>
          <w:lang w:val="en-US" w:eastAsia="zh-CN" w:bidi="ar"/>
          <w14:textFill>
            <w14:solidFill>
              <w14:schemeClr w14:val="tx1"/>
            </w14:solidFill>
          </w14:textFill>
        </w:rPr>
      </w:pPr>
      <w:bookmarkStart w:id="40" w:name="_Toc1424"/>
      <w:r>
        <w:rPr>
          <w:rFonts w:hint="eastAsia" w:ascii="宋体" w:hAnsi="宋体" w:eastAsia="宋体" w:cs="宋体"/>
          <w:b/>
          <w:bCs/>
          <w:color w:val="000000" w:themeColor="text1"/>
          <w:kern w:val="0"/>
          <w:sz w:val="24"/>
          <w:szCs w:val="24"/>
          <w:lang w:val="en-US" w:eastAsia="zh-CN" w:bidi="ar"/>
          <w14:textFill>
            <w14:solidFill>
              <w14:schemeClr w14:val="tx1"/>
            </w14:solidFill>
          </w14:textFill>
        </w:rPr>
        <w:t>4.5.2 环境防护距离</w:t>
      </w:r>
      <w:bookmarkEnd w:id="40"/>
      <w:r>
        <w:rPr>
          <w:rFonts w:hint="eastAsia" w:ascii="宋体" w:hAnsi="宋体" w:eastAsia="宋体" w:cs="宋体"/>
          <w:b/>
          <w:bCs/>
          <w:color w:val="000000" w:themeColor="text1"/>
          <w:kern w:val="0"/>
          <w:sz w:val="24"/>
          <w:szCs w:val="24"/>
          <w:lang w:val="en-US" w:eastAsia="zh-CN" w:bidi="ar"/>
          <w14:textFill>
            <w14:solidFill>
              <w14:schemeClr w14:val="tx1"/>
            </w14:solidFill>
          </w14:textFill>
        </w:rPr>
        <w:t xml:space="preserve"> </w:t>
      </w:r>
    </w:p>
    <w:p w14:paraId="212B7574">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本项目设置环境防护距离为厂界外100m。经现场踏勘，环境防护距离范围内有村庄姜庄（</w:t>
      </w:r>
      <w:r>
        <w:rPr>
          <w:rFonts w:hint="eastAsia" w:ascii="宋体" w:hAnsi="宋体" w:cs="宋体"/>
          <w:color w:val="000000" w:themeColor="text1"/>
          <w:sz w:val="24"/>
          <w:szCs w:val="24"/>
          <w:lang w:val="en-US" w:eastAsia="zh-CN"/>
          <w14:textFill>
            <w14:solidFill>
              <w14:schemeClr w14:val="tx1"/>
            </w14:solidFill>
          </w14:textFill>
        </w:rPr>
        <w:t>已</w:t>
      </w:r>
      <w:r>
        <w:rPr>
          <w:rFonts w:hint="eastAsia" w:ascii="宋体" w:hAnsi="宋体" w:eastAsia="宋体" w:cs="宋体"/>
          <w:color w:val="000000" w:themeColor="text1"/>
          <w:sz w:val="24"/>
          <w:szCs w:val="24"/>
          <w:lang w:val="en-US" w:eastAsia="zh-CN"/>
          <w14:textFill>
            <w14:solidFill>
              <w14:schemeClr w14:val="tx1"/>
            </w14:solidFill>
          </w14:textFill>
        </w:rPr>
        <w:t>拆迁）、安王（待拆迁），环境防护距离包络线图见附件。安王村和姜庄已被纳入和县经济技术开发区扩区建设项目的拆迁范围内。目前安王未拆迁，计划于近年完成拆迁。</w:t>
      </w:r>
    </w:p>
    <w:p w14:paraId="6DAC7FE7">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1"/>
        <w:rPr>
          <w:rFonts w:hint="eastAsia" w:ascii="宋体" w:hAnsi="宋体" w:eastAsia="宋体" w:cs="宋体"/>
          <w:b/>
          <w:bCs/>
          <w:color w:val="000000"/>
          <w:kern w:val="0"/>
          <w:sz w:val="28"/>
          <w:szCs w:val="28"/>
          <w:lang w:val="en-US" w:eastAsia="zh-CN" w:bidi="ar"/>
        </w:rPr>
      </w:pPr>
      <w:bookmarkStart w:id="41" w:name="_Toc23324"/>
      <w:r>
        <w:rPr>
          <w:rFonts w:hint="eastAsia" w:ascii="宋体" w:hAnsi="宋体" w:eastAsia="宋体" w:cs="宋体"/>
          <w:b/>
          <w:bCs/>
          <w:color w:val="000000"/>
          <w:kern w:val="0"/>
          <w:sz w:val="28"/>
          <w:szCs w:val="28"/>
          <w:lang w:val="en-US" w:eastAsia="zh-CN" w:bidi="ar"/>
        </w:rPr>
        <w:t>4.6  环保“三同时”落实情况</w:t>
      </w:r>
      <w:bookmarkEnd w:id="41"/>
    </w:p>
    <w:p w14:paraId="3E0A0CFF">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本项目环评总投资2419.39万元，实际总投资</w:t>
      </w:r>
      <w:r>
        <w:rPr>
          <w:rFonts w:hint="eastAsia" w:ascii="宋体" w:hAnsi="宋体" w:cs="宋体"/>
          <w:color w:val="000000" w:themeColor="text1"/>
          <w:sz w:val="24"/>
          <w:szCs w:val="24"/>
          <w:lang w:val="en-US" w:eastAsia="zh-CN"/>
          <w14:textFill>
            <w14:solidFill>
              <w14:schemeClr w14:val="tx1"/>
            </w14:solidFill>
          </w14:textFill>
        </w:rPr>
        <w:t>2712.32</w:t>
      </w:r>
      <w:r>
        <w:rPr>
          <w:rFonts w:hint="eastAsia" w:ascii="宋体" w:hAnsi="宋体" w:eastAsia="宋体" w:cs="宋体"/>
          <w:color w:val="000000" w:themeColor="text1"/>
          <w:sz w:val="24"/>
          <w:szCs w:val="24"/>
          <w:lang w:val="en-US" w:eastAsia="zh-CN"/>
          <w14:textFill>
            <w14:solidFill>
              <w14:schemeClr w14:val="tx1"/>
            </w14:solidFill>
          </w14:textFill>
        </w:rPr>
        <w:t>万元，环评中环保投资2419.39万元，实际环保投资</w:t>
      </w:r>
      <w:r>
        <w:rPr>
          <w:rFonts w:hint="eastAsia" w:ascii="宋体" w:hAnsi="宋体" w:cs="宋体"/>
          <w:color w:val="000000" w:themeColor="text1"/>
          <w:sz w:val="24"/>
          <w:szCs w:val="24"/>
          <w:lang w:val="en-US" w:eastAsia="zh-CN"/>
          <w14:textFill>
            <w14:solidFill>
              <w14:schemeClr w14:val="tx1"/>
            </w14:solidFill>
          </w14:textFill>
        </w:rPr>
        <w:t>2712.32</w:t>
      </w:r>
      <w:r>
        <w:rPr>
          <w:rFonts w:hint="eastAsia" w:ascii="宋体" w:hAnsi="宋体" w:eastAsia="宋体" w:cs="宋体"/>
          <w:color w:val="000000" w:themeColor="text1"/>
          <w:sz w:val="24"/>
          <w:szCs w:val="24"/>
          <w:lang w:val="en-US" w:eastAsia="zh-CN"/>
          <w14:textFill>
            <w14:solidFill>
              <w14:schemeClr w14:val="tx1"/>
            </w14:solidFill>
          </w14:textFill>
        </w:rPr>
        <w:t>万元，实际占比</w:t>
      </w:r>
      <w:r>
        <w:rPr>
          <w:rFonts w:hint="eastAsia" w:ascii="宋体" w:hAnsi="宋体" w:cs="宋体"/>
          <w:color w:val="000000" w:themeColor="text1"/>
          <w:sz w:val="24"/>
          <w:szCs w:val="24"/>
          <w:lang w:val="en-US" w:eastAsia="zh-CN"/>
          <w14:textFill>
            <w14:solidFill>
              <w14:schemeClr w14:val="tx1"/>
            </w14:solidFill>
          </w14:textFill>
        </w:rPr>
        <w:t>超过</w:t>
      </w:r>
      <w:r>
        <w:rPr>
          <w:rFonts w:hint="default" w:ascii="宋体" w:hAnsi="宋体" w:eastAsia="宋体" w:cs="宋体"/>
          <w:color w:val="000000" w:themeColor="text1"/>
          <w:sz w:val="24"/>
          <w:szCs w:val="24"/>
          <w:lang w:val="en-US" w:eastAsia="zh-CN"/>
          <w14:textFill>
            <w14:solidFill>
              <w14:schemeClr w14:val="tx1"/>
            </w14:solidFill>
          </w14:textFill>
        </w:rPr>
        <w:t>100%</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项目环保投资估算</w:t>
      </w:r>
      <w:r>
        <w:rPr>
          <w:rFonts w:hint="eastAsia" w:ascii="宋体" w:hAnsi="宋体" w:eastAsia="宋体" w:cs="宋体"/>
          <w:color w:val="000000" w:themeColor="text1"/>
          <w:sz w:val="24"/>
          <w:szCs w:val="24"/>
          <w:lang w:val="en-US" w:eastAsia="zh-CN"/>
          <w14:textFill>
            <w14:solidFill>
              <w14:schemeClr w14:val="tx1"/>
            </w14:solidFill>
          </w14:textFill>
        </w:rPr>
        <w:t>见表4.6-1：</w:t>
      </w:r>
    </w:p>
    <w:p w14:paraId="2615CBB7">
      <w:pPr>
        <w:pStyle w:val="35"/>
        <w:keepNext w:val="0"/>
        <w:keepLines w:val="0"/>
        <w:pageBreakBefore w:val="0"/>
        <w:widowControl w:val="0"/>
        <w:shd w:val="clear" w:color="auto" w:fill="auto"/>
        <w:kinsoku/>
        <w:wordWrap/>
        <w:overflowPunct w:val="0"/>
        <w:topLinePunct w:val="0"/>
        <w:autoSpaceDE w:val="0"/>
        <w:autoSpaceDN w:val="0"/>
        <w:bidi w:val="0"/>
        <w:adjustRightInd w:val="0"/>
        <w:snapToGrid/>
        <w:spacing w:after="0" w:line="240" w:lineRule="auto"/>
        <w:textAlignment w:val="baseline"/>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表4</w:t>
      </w:r>
      <w:r>
        <w:rPr>
          <w:rFonts w:hint="eastAsia" w:ascii="宋体" w:hAnsi="宋体" w:eastAsia="宋体" w:cs="宋体"/>
          <w:color w:val="000000" w:themeColor="text1"/>
          <w:lang w:val="en-US" w:eastAsia="zh-CN"/>
          <w14:textFill>
            <w14:solidFill>
              <w14:schemeClr w14:val="tx1"/>
            </w14:solidFill>
          </w14:textFill>
        </w:rPr>
        <w:t>.6-1</w:t>
      </w:r>
      <w:r>
        <w:rPr>
          <w:rFonts w:hint="eastAsia" w:ascii="宋体" w:hAnsi="宋体" w:eastAsia="宋体" w:cs="宋体"/>
          <w:color w:val="000000" w:themeColor="text1"/>
          <w14:textFill>
            <w14:solidFill>
              <w14:schemeClr w14:val="tx1"/>
            </w14:solidFill>
          </w14:textFill>
        </w:rPr>
        <w:t xml:space="preserve">  项目环保投资估算表（万元）</w:t>
      </w:r>
    </w:p>
    <w:tbl>
      <w:tblPr>
        <w:tblStyle w:val="19"/>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96"/>
        <w:gridCol w:w="1981"/>
        <w:gridCol w:w="951"/>
        <w:gridCol w:w="951"/>
        <w:gridCol w:w="3215"/>
        <w:gridCol w:w="725"/>
      </w:tblGrid>
      <w:tr w14:paraId="531012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3" w:hRule="atLeast"/>
          <w:tblHeader/>
          <w:jc w:val="center"/>
        </w:trPr>
        <w:tc>
          <w:tcPr>
            <w:tcW w:w="431" w:type="pct"/>
            <w:tcBorders>
              <w:top w:val="single" w:color="auto" w:sz="12" w:space="0"/>
              <w:left w:val="single" w:color="auto" w:sz="12" w:space="0"/>
            </w:tcBorders>
            <w:noWrap w:val="0"/>
            <w:vAlign w:val="center"/>
          </w:tcPr>
          <w:p w14:paraId="62CB53A3">
            <w:pPr>
              <w:pStyle w:val="34"/>
              <w:keepNext w:val="0"/>
              <w:keepLines w:val="0"/>
              <w:pageBreakBefore w:val="0"/>
              <w:shd w:val="clear" w:color="auto" w:fill="auto"/>
              <w:kinsoku/>
              <w:wordWrap/>
              <w:overflowPunct/>
              <w:topLinePunct w:val="0"/>
              <w:autoSpaceDE/>
              <w:autoSpaceDN/>
              <w:bidi w:val="0"/>
              <w:adjustRightInd/>
              <w:snapToGrid/>
              <w:spacing w:before="0" w:after="0"/>
              <w:ind w:left="0" w:right="0"/>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类别</w:t>
            </w:r>
          </w:p>
        </w:tc>
        <w:tc>
          <w:tcPr>
            <w:tcW w:w="1185" w:type="pct"/>
            <w:tcBorders>
              <w:top w:val="single" w:color="auto" w:sz="12" w:space="0"/>
            </w:tcBorders>
            <w:noWrap w:val="0"/>
            <w:vAlign w:val="center"/>
          </w:tcPr>
          <w:p w14:paraId="24732427">
            <w:pPr>
              <w:pStyle w:val="34"/>
              <w:keepNext w:val="0"/>
              <w:keepLines w:val="0"/>
              <w:pageBreakBefore w:val="0"/>
              <w:shd w:val="clear" w:color="auto" w:fill="auto"/>
              <w:kinsoku/>
              <w:wordWrap/>
              <w:overflowPunct/>
              <w:topLinePunct w:val="0"/>
              <w:autoSpaceDE/>
              <w:autoSpaceDN/>
              <w:bidi w:val="0"/>
              <w:adjustRightInd/>
              <w:snapToGrid/>
              <w:spacing w:before="0" w:after="0"/>
              <w:ind w:left="0" w:right="0"/>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污染源</w:t>
            </w:r>
          </w:p>
        </w:tc>
        <w:tc>
          <w:tcPr>
            <w:tcW w:w="523" w:type="pct"/>
            <w:tcBorders>
              <w:top w:val="single" w:color="auto" w:sz="12" w:space="0"/>
              <w:right w:val="single" w:color="auto" w:sz="2" w:space="0"/>
            </w:tcBorders>
            <w:noWrap w:val="0"/>
            <w:vAlign w:val="center"/>
          </w:tcPr>
          <w:p w14:paraId="49927CB1">
            <w:pPr>
              <w:pStyle w:val="34"/>
              <w:keepNext w:val="0"/>
              <w:keepLines w:val="0"/>
              <w:pageBreakBefore w:val="0"/>
              <w:shd w:val="clear" w:color="auto" w:fill="auto"/>
              <w:kinsoku/>
              <w:wordWrap/>
              <w:overflowPunct/>
              <w:topLinePunct w:val="0"/>
              <w:autoSpaceDE/>
              <w:autoSpaceDN/>
              <w:bidi w:val="0"/>
              <w:adjustRightInd/>
              <w:snapToGrid/>
              <w:spacing w:before="0" w:after="0"/>
              <w:ind w:left="0" w:right="0"/>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环评建议投资</w:t>
            </w:r>
          </w:p>
        </w:tc>
        <w:tc>
          <w:tcPr>
            <w:tcW w:w="501" w:type="pct"/>
            <w:tcBorders>
              <w:top w:val="single" w:color="auto" w:sz="12" w:space="0"/>
              <w:left w:val="single" w:color="auto" w:sz="2" w:space="0"/>
            </w:tcBorders>
            <w:noWrap w:val="0"/>
            <w:vAlign w:val="center"/>
          </w:tcPr>
          <w:p w14:paraId="63BF44BC">
            <w:pPr>
              <w:pStyle w:val="34"/>
              <w:keepNext w:val="0"/>
              <w:keepLines w:val="0"/>
              <w:pageBreakBefore w:val="0"/>
              <w:shd w:val="clear" w:color="auto" w:fill="auto"/>
              <w:kinsoku/>
              <w:wordWrap/>
              <w:overflowPunct/>
              <w:topLinePunct w:val="0"/>
              <w:autoSpaceDE/>
              <w:autoSpaceDN/>
              <w:bidi w:val="0"/>
              <w:adjustRightInd/>
              <w:snapToGrid/>
              <w:spacing w:before="0" w:after="0"/>
              <w:ind w:left="0" w:right="0"/>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实际</w:t>
            </w:r>
          </w:p>
          <w:p w14:paraId="70AE6B7B">
            <w:pPr>
              <w:pStyle w:val="34"/>
              <w:keepNext w:val="0"/>
              <w:keepLines w:val="0"/>
              <w:pageBreakBefore w:val="0"/>
              <w:shd w:val="clear" w:color="auto" w:fill="auto"/>
              <w:kinsoku/>
              <w:wordWrap/>
              <w:overflowPunct/>
              <w:topLinePunct w:val="0"/>
              <w:autoSpaceDE/>
              <w:autoSpaceDN/>
              <w:bidi w:val="0"/>
              <w:adjustRightInd/>
              <w:snapToGrid/>
              <w:spacing w:before="0" w:after="0"/>
              <w:ind w:left="0" w:right="0"/>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投资</w:t>
            </w:r>
          </w:p>
        </w:tc>
        <w:tc>
          <w:tcPr>
            <w:tcW w:w="1909" w:type="pct"/>
            <w:tcBorders>
              <w:top w:val="single" w:color="auto" w:sz="12" w:space="0"/>
            </w:tcBorders>
            <w:noWrap w:val="0"/>
            <w:vAlign w:val="center"/>
          </w:tcPr>
          <w:p w14:paraId="1CCDF559">
            <w:pPr>
              <w:pStyle w:val="34"/>
              <w:keepNext w:val="0"/>
              <w:keepLines w:val="0"/>
              <w:pageBreakBefore w:val="0"/>
              <w:shd w:val="clear" w:color="auto" w:fill="auto"/>
              <w:kinsoku/>
              <w:wordWrap/>
              <w:overflowPunct/>
              <w:topLinePunct w:val="0"/>
              <w:autoSpaceDE/>
              <w:autoSpaceDN/>
              <w:bidi w:val="0"/>
              <w:adjustRightInd/>
              <w:snapToGrid/>
              <w:spacing w:before="0" w:after="0"/>
              <w:ind w:left="0" w:right="0"/>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效果</w:t>
            </w:r>
          </w:p>
        </w:tc>
        <w:tc>
          <w:tcPr>
            <w:tcW w:w="448" w:type="pct"/>
            <w:tcBorders>
              <w:top w:val="single" w:color="auto" w:sz="12" w:space="0"/>
              <w:right w:val="single" w:color="auto" w:sz="12" w:space="0"/>
            </w:tcBorders>
            <w:noWrap w:val="0"/>
            <w:vAlign w:val="center"/>
          </w:tcPr>
          <w:p w14:paraId="6C9CB433">
            <w:pPr>
              <w:pStyle w:val="34"/>
              <w:keepNext w:val="0"/>
              <w:keepLines w:val="0"/>
              <w:pageBreakBefore w:val="0"/>
              <w:shd w:val="clear" w:color="auto" w:fill="auto"/>
              <w:kinsoku/>
              <w:wordWrap/>
              <w:overflowPunct/>
              <w:topLinePunct w:val="0"/>
              <w:autoSpaceDE/>
              <w:autoSpaceDN/>
              <w:bidi w:val="0"/>
              <w:adjustRightInd/>
              <w:snapToGrid/>
              <w:spacing w:before="0" w:after="0"/>
              <w:ind w:left="0" w:right="0"/>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进度</w:t>
            </w:r>
          </w:p>
        </w:tc>
      </w:tr>
      <w:tr w14:paraId="2DFF70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8" w:hRule="atLeast"/>
          <w:tblHeader/>
          <w:jc w:val="center"/>
        </w:trPr>
        <w:tc>
          <w:tcPr>
            <w:tcW w:w="431" w:type="pct"/>
            <w:tcBorders>
              <w:left w:val="single" w:color="auto" w:sz="12" w:space="0"/>
            </w:tcBorders>
            <w:noWrap w:val="0"/>
            <w:vAlign w:val="center"/>
          </w:tcPr>
          <w:p w14:paraId="3E9AB95A">
            <w:pPr>
              <w:pStyle w:val="34"/>
              <w:keepNext w:val="0"/>
              <w:keepLines w:val="0"/>
              <w:pageBreakBefore w:val="0"/>
              <w:widowControl/>
              <w:shd w:val="clear" w:color="auto" w:fill="auto"/>
              <w:kinsoku/>
              <w:wordWrap/>
              <w:overflowPunct/>
              <w:topLinePunct w:val="0"/>
              <w:autoSpaceDE/>
              <w:autoSpaceDN/>
              <w:bidi w:val="0"/>
              <w:adjustRightInd/>
              <w:snapToGrid w:val="0"/>
              <w:spacing w:before="0" w:after="0"/>
              <w:ind w:left="0" w:right="0"/>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废水</w:t>
            </w:r>
          </w:p>
        </w:tc>
        <w:tc>
          <w:tcPr>
            <w:tcW w:w="1185" w:type="pct"/>
            <w:tcBorders>
              <w:top w:val="single" w:color="auto" w:sz="4" w:space="0"/>
            </w:tcBorders>
            <w:noWrap w:val="0"/>
            <w:vAlign w:val="center"/>
          </w:tcPr>
          <w:p w14:paraId="5B52D668">
            <w:pPr>
              <w:keepNext w:val="0"/>
              <w:keepLines w:val="0"/>
              <w:pageBreakBefore w:val="0"/>
              <w:widowControl/>
              <w:shd w:val="clear" w:color="auto" w:fill="auto"/>
              <w:kinsoku/>
              <w:wordWrap/>
              <w:overflowPunct/>
              <w:topLinePunct w:val="0"/>
              <w:autoSpaceDE/>
              <w:autoSpaceDN/>
              <w:bidi w:val="0"/>
              <w:adjustRightInd/>
              <w:snapToGrid w:val="0"/>
              <w:ind w:left="0" w:right="0"/>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污水处理厂尾水</w:t>
            </w:r>
          </w:p>
        </w:tc>
        <w:tc>
          <w:tcPr>
            <w:tcW w:w="523" w:type="pct"/>
            <w:tcBorders>
              <w:top w:val="single" w:color="auto" w:sz="4" w:space="0"/>
              <w:right w:val="single" w:color="auto" w:sz="2" w:space="0"/>
            </w:tcBorders>
            <w:noWrap w:val="0"/>
            <w:vAlign w:val="center"/>
          </w:tcPr>
          <w:p w14:paraId="05E1D19C">
            <w:pPr>
              <w:keepNext w:val="0"/>
              <w:keepLines w:val="0"/>
              <w:pageBreakBefore w:val="0"/>
              <w:widowControl/>
              <w:shd w:val="clear" w:color="auto" w:fill="auto"/>
              <w:kinsoku/>
              <w:wordWrap/>
              <w:overflowPunct/>
              <w:topLinePunct w:val="0"/>
              <w:autoSpaceDE/>
              <w:autoSpaceDN/>
              <w:bidi w:val="0"/>
              <w:adjustRightInd/>
              <w:snapToGrid w:val="0"/>
              <w:ind w:left="-60" w:leftChars="-25" w:right="-60" w:rightChars="-25"/>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2354.8</w:t>
            </w:r>
          </w:p>
        </w:tc>
        <w:tc>
          <w:tcPr>
            <w:tcW w:w="501" w:type="pct"/>
            <w:tcBorders>
              <w:top w:val="single" w:color="auto" w:sz="4" w:space="0"/>
              <w:left w:val="single" w:color="auto" w:sz="2" w:space="0"/>
            </w:tcBorders>
            <w:noWrap w:val="0"/>
            <w:vAlign w:val="center"/>
          </w:tcPr>
          <w:p w14:paraId="4354500E">
            <w:pPr>
              <w:pStyle w:val="34"/>
              <w:keepNext w:val="0"/>
              <w:keepLines w:val="0"/>
              <w:pageBreakBefore w:val="0"/>
              <w:widowControl/>
              <w:shd w:val="clear" w:color="auto" w:fill="auto"/>
              <w:kinsoku/>
              <w:wordWrap/>
              <w:overflowPunct/>
              <w:topLinePunct w:val="0"/>
              <w:autoSpaceDE/>
              <w:autoSpaceDN/>
              <w:bidi w:val="0"/>
              <w:adjustRightInd/>
              <w:snapToGrid w:val="0"/>
              <w:spacing w:before="0" w:after="0"/>
              <w:ind w:left="0" w:right="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2647.73</w:t>
            </w:r>
          </w:p>
        </w:tc>
        <w:tc>
          <w:tcPr>
            <w:tcW w:w="1909" w:type="pct"/>
            <w:noWrap w:val="0"/>
            <w:vAlign w:val="center"/>
          </w:tcPr>
          <w:p w14:paraId="49652CB8">
            <w:pPr>
              <w:keepNext w:val="0"/>
              <w:keepLines w:val="0"/>
              <w:widowControl/>
              <w:suppressLineNumbers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达标排放</w:t>
            </w:r>
          </w:p>
        </w:tc>
        <w:tc>
          <w:tcPr>
            <w:tcW w:w="448" w:type="pct"/>
            <w:vMerge w:val="restart"/>
            <w:tcBorders>
              <w:right w:val="single" w:color="auto" w:sz="12" w:space="0"/>
            </w:tcBorders>
            <w:noWrap w:val="0"/>
            <w:vAlign w:val="center"/>
          </w:tcPr>
          <w:p w14:paraId="601450B4">
            <w:pPr>
              <w:pStyle w:val="34"/>
              <w:keepNext w:val="0"/>
              <w:keepLines w:val="0"/>
              <w:pageBreakBefore w:val="0"/>
              <w:shd w:val="clear" w:color="auto" w:fill="auto"/>
              <w:kinsoku/>
              <w:wordWrap/>
              <w:overflowPunct/>
              <w:topLinePunct w:val="0"/>
              <w:autoSpaceDE/>
              <w:autoSpaceDN/>
              <w:bidi w:val="0"/>
              <w:adjustRightInd/>
              <w:snapToGrid/>
              <w:spacing w:before="0" w:after="0"/>
              <w:ind w:left="0" w:right="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与项目同时设计，同时施工，同时投入运行</w:t>
            </w:r>
          </w:p>
        </w:tc>
      </w:tr>
      <w:tr w14:paraId="5E4DEE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3" w:hRule="atLeast"/>
          <w:tblHeader/>
          <w:jc w:val="center"/>
        </w:trPr>
        <w:tc>
          <w:tcPr>
            <w:tcW w:w="431" w:type="pct"/>
            <w:tcBorders>
              <w:left w:val="single" w:color="auto" w:sz="12" w:space="0"/>
            </w:tcBorders>
            <w:noWrap w:val="0"/>
            <w:vAlign w:val="center"/>
          </w:tcPr>
          <w:p w14:paraId="040F867F">
            <w:pPr>
              <w:pStyle w:val="34"/>
              <w:keepNext w:val="0"/>
              <w:keepLines w:val="0"/>
              <w:pageBreakBefore w:val="0"/>
              <w:widowControl/>
              <w:shd w:val="clear" w:color="auto" w:fill="auto"/>
              <w:kinsoku/>
              <w:wordWrap/>
              <w:overflowPunct/>
              <w:topLinePunct w:val="0"/>
              <w:autoSpaceDE/>
              <w:autoSpaceDN/>
              <w:bidi w:val="0"/>
              <w:adjustRightInd/>
              <w:snapToGrid w:val="0"/>
              <w:spacing w:before="0" w:after="0"/>
              <w:ind w:left="0" w:right="0"/>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废气</w:t>
            </w:r>
          </w:p>
        </w:tc>
        <w:tc>
          <w:tcPr>
            <w:tcW w:w="1185" w:type="pct"/>
            <w:tcBorders>
              <w:bottom w:val="single" w:color="auto" w:sz="4" w:space="0"/>
            </w:tcBorders>
            <w:noWrap w:val="0"/>
            <w:vAlign w:val="center"/>
          </w:tcPr>
          <w:p w14:paraId="798BE388">
            <w:pPr>
              <w:keepNext w:val="0"/>
              <w:keepLines w:val="0"/>
              <w:pageBreakBefore w:val="0"/>
              <w:widowControl/>
              <w:shd w:val="clear" w:color="auto" w:fill="auto"/>
              <w:kinsoku/>
              <w:wordWrap/>
              <w:overflowPunct/>
              <w:topLinePunct w:val="0"/>
              <w:autoSpaceDE/>
              <w:autoSpaceDN/>
              <w:bidi w:val="0"/>
              <w:adjustRightInd/>
              <w:snapToGrid w:val="0"/>
              <w:ind w:left="0" w:right="0"/>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粗格栅间、提升泵房、细格栅间、旋流沉砂池、污泥脱水间等</w:t>
            </w:r>
          </w:p>
        </w:tc>
        <w:tc>
          <w:tcPr>
            <w:tcW w:w="523" w:type="pct"/>
            <w:tcBorders>
              <w:bottom w:val="single" w:color="auto" w:sz="4" w:space="0"/>
              <w:right w:val="single" w:color="auto" w:sz="2" w:space="0"/>
            </w:tcBorders>
            <w:noWrap w:val="0"/>
            <w:vAlign w:val="center"/>
          </w:tcPr>
          <w:p w14:paraId="369BA4C2">
            <w:pPr>
              <w:keepNext w:val="0"/>
              <w:keepLines w:val="0"/>
              <w:pageBreakBefore w:val="0"/>
              <w:widowControl/>
              <w:shd w:val="clear" w:color="auto" w:fill="auto"/>
              <w:kinsoku/>
              <w:wordWrap/>
              <w:overflowPunct/>
              <w:topLinePunct w:val="0"/>
              <w:autoSpaceDE/>
              <w:autoSpaceDN/>
              <w:bidi w:val="0"/>
              <w:adjustRightInd/>
              <w:snapToGrid w:val="0"/>
              <w:ind w:left="0" w:leftChars="0" w:right="0" w:rightChars="0"/>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2</w:t>
            </w:r>
          </w:p>
        </w:tc>
        <w:tc>
          <w:tcPr>
            <w:tcW w:w="501" w:type="pct"/>
            <w:tcBorders>
              <w:left w:val="single" w:color="auto" w:sz="2" w:space="0"/>
              <w:bottom w:val="single" w:color="auto" w:sz="4" w:space="0"/>
            </w:tcBorders>
            <w:noWrap w:val="0"/>
            <w:vAlign w:val="center"/>
          </w:tcPr>
          <w:p w14:paraId="625FD303">
            <w:pPr>
              <w:pStyle w:val="34"/>
              <w:keepNext w:val="0"/>
              <w:keepLines w:val="0"/>
              <w:pageBreakBefore w:val="0"/>
              <w:widowControl/>
              <w:shd w:val="clear" w:color="auto" w:fill="auto"/>
              <w:kinsoku/>
              <w:wordWrap/>
              <w:overflowPunct/>
              <w:topLinePunct w:val="0"/>
              <w:autoSpaceDE/>
              <w:autoSpaceDN/>
              <w:bidi w:val="0"/>
              <w:adjustRightInd/>
              <w:snapToGrid w:val="0"/>
              <w:spacing w:before="0" w:after="0"/>
              <w:ind w:left="0" w:right="0"/>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2</w:t>
            </w:r>
          </w:p>
        </w:tc>
        <w:tc>
          <w:tcPr>
            <w:tcW w:w="1909" w:type="pct"/>
            <w:tcBorders>
              <w:bottom w:val="single" w:color="auto" w:sz="4" w:space="0"/>
            </w:tcBorders>
            <w:noWrap w:val="0"/>
            <w:vAlign w:val="center"/>
          </w:tcPr>
          <w:p w14:paraId="248D11B5">
            <w:pPr>
              <w:pStyle w:val="34"/>
              <w:keepNext w:val="0"/>
              <w:keepLines w:val="0"/>
              <w:pageBreakBefore w:val="0"/>
              <w:widowControl/>
              <w:shd w:val="clear" w:color="auto" w:fill="auto"/>
              <w:kinsoku/>
              <w:wordWrap/>
              <w:overflowPunct/>
              <w:topLinePunct w:val="0"/>
              <w:autoSpaceDE/>
              <w:autoSpaceDN/>
              <w:bidi w:val="0"/>
              <w:adjustRightInd/>
              <w:snapToGrid w:val="0"/>
              <w:spacing w:before="0" w:after="0" w:line="240" w:lineRule="auto"/>
              <w:ind w:left="0" w:right="0"/>
              <w:jc w:val="center"/>
              <w:textAlignment w:val="auto"/>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达标排放</w:t>
            </w:r>
          </w:p>
        </w:tc>
        <w:tc>
          <w:tcPr>
            <w:tcW w:w="448" w:type="pct"/>
            <w:vMerge w:val="continue"/>
            <w:tcBorders>
              <w:right w:val="single" w:color="auto" w:sz="12" w:space="0"/>
            </w:tcBorders>
            <w:noWrap w:val="0"/>
            <w:vAlign w:val="center"/>
          </w:tcPr>
          <w:p w14:paraId="44DA0C0B">
            <w:pPr>
              <w:pStyle w:val="34"/>
              <w:keepNext w:val="0"/>
              <w:keepLines w:val="0"/>
              <w:pageBreakBefore w:val="0"/>
              <w:shd w:val="clear" w:color="auto" w:fill="auto"/>
              <w:kinsoku/>
              <w:wordWrap/>
              <w:overflowPunct/>
              <w:topLinePunct w:val="0"/>
              <w:autoSpaceDE/>
              <w:autoSpaceDN/>
              <w:bidi w:val="0"/>
              <w:adjustRightInd/>
              <w:snapToGrid/>
              <w:spacing w:before="0" w:after="0"/>
              <w:ind w:left="0" w:right="0"/>
              <w:textAlignment w:val="auto"/>
              <w:rPr>
                <w:rFonts w:hint="eastAsia" w:ascii="宋体" w:hAnsi="宋体" w:eastAsia="宋体" w:cs="宋体"/>
                <w:color w:val="000000" w:themeColor="text1"/>
                <w:sz w:val="21"/>
                <w:szCs w:val="21"/>
                <w14:textFill>
                  <w14:solidFill>
                    <w14:schemeClr w14:val="tx1"/>
                  </w14:solidFill>
                </w14:textFill>
              </w:rPr>
            </w:pPr>
          </w:p>
        </w:tc>
      </w:tr>
      <w:tr w14:paraId="443593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3" w:hRule="atLeast"/>
          <w:tblHeader/>
          <w:jc w:val="center"/>
        </w:trPr>
        <w:tc>
          <w:tcPr>
            <w:tcW w:w="431" w:type="pct"/>
            <w:tcBorders>
              <w:left w:val="single" w:color="auto" w:sz="12" w:space="0"/>
            </w:tcBorders>
            <w:noWrap w:val="0"/>
            <w:vAlign w:val="center"/>
          </w:tcPr>
          <w:p w14:paraId="535CF8EB">
            <w:pPr>
              <w:pStyle w:val="34"/>
              <w:keepNext w:val="0"/>
              <w:keepLines w:val="0"/>
              <w:pageBreakBefore w:val="0"/>
              <w:widowControl/>
              <w:shd w:val="clear" w:color="auto" w:fill="auto"/>
              <w:kinsoku/>
              <w:wordWrap/>
              <w:overflowPunct/>
              <w:topLinePunct w:val="0"/>
              <w:autoSpaceDE/>
              <w:autoSpaceDN/>
              <w:bidi w:val="0"/>
              <w:adjustRightInd/>
              <w:snapToGrid w:val="0"/>
              <w:spacing w:before="0" w:after="0"/>
              <w:ind w:left="0" w:right="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噪声</w:t>
            </w:r>
          </w:p>
        </w:tc>
        <w:tc>
          <w:tcPr>
            <w:tcW w:w="1185" w:type="pct"/>
            <w:noWrap w:val="0"/>
            <w:vAlign w:val="center"/>
          </w:tcPr>
          <w:p w14:paraId="679EC457">
            <w:pPr>
              <w:pStyle w:val="34"/>
              <w:keepNext w:val="0"/>
              <w:keepLines w:val="0"/>
              <w:pageBreakBefore w:val="0"/>
              <w:widowControl/>
              <w:shd w:val="clear" w:color="auto" w:fill="auto"/>
              <w:kinsoku/>
              <w:wordWrap/>
              <w:overflowPunct/>
              <w:topLinePunct w:val="0"/>
              <w:autoSpaceDE/>
              <w:autoSpaceDN/>
              <w:bidi w:val="0"/>
              <w:adjustRightInd/>
              <w:snapToGrid w:val="0"/>
              <w:spacing w:before="0" w:after="0"/>
              <w:ind w:left="0" w:leftChars="0" w:right="0" w:rightChars="0"/>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污水处理厂</w:t>
            </w:r>
          </w:p>
        </w:tc>
        <w:tc>
          <w:tcPr>
            <w:tcW w:w="523" w:type="pct"/>
            <w:tcBorders>
              <w:right w:val="single" w:color="auto" w:sz="2" w:space="0"/>
            </w:tcBorders>
            <w:noWrap w:val="0"/>
            <w:vAlign w:val="center"/>
          </w:tcPr>
          <w:p w14:paraId="2FD7DDAD">
            <w:pPr>
              <w:pStyle w:val="34"/>
              <w:keepNext w:val="0"/>
              <w:keepLines w:val="0"/>
              <w:pageBreakBefore w:val="0"/>
              <w:widowControl/>
              <w:shd w:val="clear" w:color="auto" w:fill="auto"/>
              <w:kinsoku/>
              <w:wordWrap/>
              <w:overflowPunct/>
              <w:topLinePunct w:val="0"/>
              <w:autoSpaceDE/>
              <w:autoSpaceDN/>
              <w:bidi w:val="0"/>
              <w:adjustRightInd/>
              <w:snapToGrid w:val="0"/>
              <w:spacing w:before="0" w:after="0"/>
              <w:ind w:left="0" w:leftChars="0" w:right="0" w:rightChars="0"/>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20</w:t>
            </w:r>
          </w:p>
        </w:tc>
        <w:tc>
          <w:tcPr>
            <w:tcW w:w="501" w:type="pct"/>
            <w:tcBorders>
              <w:left w:val="single" w:color="auto" w:sz="2" w:space="0"/>
            </w:tcBorders>
            <w:noWrap w:val="0"/>
            <w:vAlign w:val="center"/>
          </w:tcPr>
          <w:p w14:paraId="486DC41E">
            <w:pPr>
              <w:pStyle w:val="34"/>
              <w:keepNext w:val="0"/>
              <w:keepLines w:val="0"/>
              <w:pageBreakBefore w:val="0"/>
              <w:widowControl/>
              <w:shd w:val="clear" w:color="auto" w:fill="auto"/>
              <w:kinsoku/>
              <w:wordWrap/>
              <w:overflowPunct/>
              <w:topLinePunct w:val="0"/>
              <w:autoSpaceDE/>
              <w:autoSpaceDN/>
              <w:bidi w:val="0"/>
              <w:adjustRightInd/>
              <w:snapToGrid w:val="0"/>
              <w:spacing w:before="0" w:after="0"/>
              <w:ind w:left="0" w:leftChars="0" w:right="0" w:rightChars="0"/>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35</w:t>
            </w:r>
          </w:p>
        </w:tc>
        <w:tc>
          <w:tcPr>
            <w:tcW w:w="1909" w:type="pct"/>
            <w:noWrap w:val="0"/>
            <w:vAlign w:val="center"/>
          </w:tcPr>
          <w:p w14:paraId="5DC7BC7B">
            <w:pPr>
              <w:pStyle w:val="34"/>
              <w:keepNext w:val="0"/>
              <w:keepLines w:val="0"/>
              <w:pageBreakBefore w:val="0"/>
              <w:widowControl/>
              <w:shd w:val="clear" w:color="auto" w:fill="auto"/>
              <w:kinsoku/>
              <w:wordWrap/>
              <w:overflowPunct/>
              <w:topLinePunct w:val="0"/>
              <w:autoSpaceDE/>
              <w:autoSpaceDN/>
              <w:bidi w:val="0"/>
              <w:adjustRightInd/>
              <w:snapToGrid w:val="0"/>
              <w:spacing w:before="0" w:after="0"/>
              <w:ind w:left="0" w:leftChars="0" w:right="0" w:rightChars="0"/>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降噪效果不低于25dB(A)，使厂界噪声满足《</w:t>
            </w:r>
            <w:r>
              <w:rPr>
                <w:rFonts w:hint="eastAsia" w:ascii="宋体" w:hAnsi="宋体" w:eastAsia="宋体" w:cs="宋体"/>
                <w:color w:val="000000" w:themeColor="text1"/>
                <w:sz w:val="21"/>
                <w:szCs w:val="21"/>
                <w:lang w:eastAsia="zh-CN"/>
                <w14:textFill>
                  <w14:solidFill>
                    <w14:schemeClr w14:val="tx1"/>
                  </w14:solidFill>
                </w14:textFill>
              </w:rPr>
              <w:t>工业企业厂界环境噪声排放标准</w:t>
            </w:r>
            <w:r>
              <w:rPr>
                <w:rFonts w:hint="eastAsia" w:ascii="宋体" w:hAnsi="宋体" w:eastAsia="宋体" w:cs="宋体"/>
                <w:color w:val="000000" w:themeColor="text1"/>
                <w:sz w:val="21"/>
                <w:szCs w:val="21"/>
                <w14:textFill>
                  <w14:solidFill>
                    <w14:schemeClr w14:val="tx1"/>
                  </w14:solidFill>
                </w14:textFill>
              </w:rPr>
              <w:t>》（GB12348-2008）3类标准</w:t>
            </w:r>
            <w:r>
              <w:rPr>
                <w:rFonts w:hint="eastAsia" w:ascii="宋体" w:hAnsi="宋体" w:eastAsia="宋体" w:cs="宋体"/>
                <w:color w:val="000000" w:themeColor="text1"/>
                <w:sz w:val="21"/>
                <w:szCs w:val="21"/>
                <w:lang w:eastAsia="zh-CN"/>
                <w14:textFill>
                  <w14:solidFill>
                    <w14:schemeClr w14:val="tx1"/>
                  </w14:solidFill>
                </w14:textFill>
              </w:rPr>
              <w:t>。</w:t>
            </w:r>
          </w:p>
        </w:tc>
        <w:tc>
          <w:tcPr>
            <w:tcW w:w="448" w:type="pct"/>
            <w:vMerge w:val="continue"/>
            <w:tcBorders>
              <w:right w:val="single" w:color="auto" w:sz="12" w:space="0"/>
            </w:tcBorders>
            <w:noWrap w:val="0"/>
            <w:vAlign w:val="center"/>
          </w:tcPr>
          <w:p w14:paraId="3FDAA97D">
            <w:pPr>
              <w:pStyle w:val="34"/>
              <w:keepNext w:val="0"/>
              <w:keepLines w:val="0"/>
              <w:pageBreakBefore w:val="0"/>
              <w:shd w:val="clear" w:color="auto" w:fill="auto"/>
              <w:kinsoku/>
              <w:wordWrap/>
              <w:overflowPunct/>
              <w:topLinePunct w:val="0"/>
              <w:autoSpaceDE/>
              <w:autoSpaceDN/>
              <w:bidi w:val="0"/>
              <w:adjustRightInd/>
              <w:snapToGrid/>
              <w:spacing w:before="0" w:after="0"/>
              <w:ind w:left="0" w:right="0"/>
              <w:textAlignment w:val="auto"/>
              <w:rPr>
                <w:rFonts w:hint="eastAsia" w:ascii="宋体" w:hAnsi="宋体" w:eastAsia="宋体" w:cs="宋体"/>
                <w:color w:val="000000" w:themeColor="text1"/>
                <w:sz w:val="21"/>
                <w:szCs w:val="21"/>
                <w14:textFill>
                  <w14:solidFill>
                    <w14:schemeClr w14:val="tx1"/>
                  </w14:solidFill>
                </w14:textFill>
              </w:rPr>
            </w:pPr>
          </w:p>
        </w:tc>
      </w:tr>
      <w:tr w14:paraId="2B8217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3" w:hRule="atLeast"/>
          <w:tblHeader/>
          <w:jc w:val="center"/>
        </w:trPr>
        <w:tc>
          <w:tcPr>
            <w:tcW w:w="431" w:type="pct"/>
            <w:vMerge w:val="restart"/>
            <w:tcBorders>
              <w:left w:val="single" w:color="auto" w:sz="12" w:space="0"/>
            </w:tcBorders>
            <w:noWrap w:val="0"/>
            <w:vAlign w:val="center"/>
          </w:tcPr>
          <w:p w14:paraId="000FCD1A">
            <w:pPr>
              <w:pStyle w:val="34"/>
              <w:keepNext w:val="0"/>
              <w:keepLines w:val="0"/>
              <w:pageBreakBefore w:val="0"/>
              <w:widowControl/>
              <w:shd w:val="clear" w:color="auto" w:fill="auto"/>
              <w:kinsoku/>
              <w:wordWrap/>
              <w:overflowPunct/>
              <w:topLinePunct w:val="0"/>
              <w:autoSpaceDE/>
              <w:autoSpaceDN/>
              <w:bidi w:val="0"/>
              <w:adjustRightInd/>
              <w:snapToGrid w:val="0"/>
              <w:spacing w:before="0" w:after="0"/>
              <w:ind w:left="0" w:right="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固废</w:t>
            </w:r>
          </w:p>
        </w:tc>
        <w:tc>
          <w:tcPr>
            <w:tcW w:w="1185" w:type="pct"/>
            <w:noWrap w:val="0"/>
            <w:vAlign w:val="center"/>
          </w:tcPr>
          <w:p w14:paraId="7EEA765B">
            <w:pPr>
              <w:pStyle w:val="34"/>
              <w:keepNext w:val="0"/>
              <w:keepLines w:val="0"/>
              <w:pageBreakBefore w:val="0"/>
              <w:widowControl/>
              <w:shd w:val="clear" w:color="auto" w:fill="auto"/>
              <w:kinsoku/>
              <w:wordWrap/>
              <w:overflowPunct/>
              <w:topLinePunct w:val="0"/>
              <w:autoSpaceDE/>
              <w:autoSpaceDN/>
              <w:bidi w:val="0"/>
              <w:adjustRightInd/>
              <w:snapToGrid w:val="0"/>
              <w:spacing w:before="0" w:after="0"/>
              <w:ind w:left="0" w:right="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一般固废临时存放设施</w:t>
            </w:r>
          </w:p>
          <w:p w14:paraId="2C2D437B">
            <w:pPr>
              <w:pStyle w:val="34"/>
              <w:keepNext w:val="0"/>
              <w:keepLines w:val="0"/>
              <w:pageBreakBefore w:val="0"/>
              <w:widowControl/>
              <w:shd w:val="clear" w:color="auto" w:fill="auto"/>
              <w:kinsoku/>
              <w:wordWrap/>
              <w:overflowPunct/>
              <w:topLinePunct w:val="0"/>
              <w:autoSpaceDE/>
              <w:autoSpaceDN/>
              <w:bidi w:val="0"/>
              <w:adjustRightInd/>
              <w:snapToGrid w:val="0"/>
              <w:spacing w:before="0" w:after="0"/>
              <w:ind w:left="0" w:right="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办公生活垃圾收集设施</w:t>
            </w:r>
          </w:p>
        </w:tc>
        <w:tc>
          <w:tcPr>
            <w:tcW w:w="523" w:type="pct"/>
            <w:vMerge w:val="restart"/>
            <w:tcBorders>
              <w:right w:val="single" w:color="auto" w:sz="2" w:space="0"/>
            </w:tcBorders>
            <w:noWrap w:val="0"/>
            <w:vAlign w:val="center"/>
          </w:tcPr>
          <w:p w14:paraId="1E1429F7">
            <w:pPr>
              <w:pStyle w:val="34"/>
              <w:keepNext w:val="0"/>
              <w:keepLines w:val="0"/>
              <w:pageBreakBefore w:val="0"/>
              <w:widowControl/>
              <w:shd w:val="clear" w:color="auto" w:fill="auto"/>
              <w:kinsoku/>
              <w:wordWrap/>
              <w:overflowPunct/>
              <w:topLinePunct w:val="0"/>
              <w:autoSpaceDE/>
              <w:autoSpaceDN/>
              <w:bidi w:val="0"/>
              <w:adjustRightInd/>
              <w:snapToGrid w:val="0"/>
              <w:spacing w:before="0" w:after="0"/>
              <w:ind w:left="0" w:right="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14.5</w:t>
            </w:r>
          </w:p>
        </w:tc>
        <w:tc>
          <w:tcPr>
            <w:tcW w:w="501" w:type="pct"/>
            <w:vMerge w:val="restart"/>
            <w:tcBorders>
              <w:left w:val="single" w:color="auto" w:sz="2" w:space="0"/>
            </w:tcBorders>
            <w:noWrap w:val="0"/>
            <w:vAlign w:val="center"/>
          </w:tcPr>
          <w:p w14:paraId="219A9835">
            <w:pPr>
              <w:pStyle w:val="34"/>
              <w:keepNext w:val="0"/>
              <w:keepLines w:val="0"/>
              <w:pageBreakBefore w:val="0"/>
              <w:widowControl/>
              <w:shd w:val="clear" w:color="auto" w:fill="auto"/>
              <w:kinsoku/>
              <w:wordWrap/>
              <w:overflowPunct/>
              <w:topLinePunct w:val="0"/>
              <w:autoSpaceDE/>
              <w:autoSpaceDN/>
              <w:bidi w:val="0"/>
              <w:adjustRightInd/>
              <w:snapToGrid w:val="0"/>
              <w:spacing w:before="0" w:after="0"/>
              <w:ind w:left="0" w:right="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18.9</w:t>
            </w:r>
          </w:p>
        </w:tc>
        <w:tc>
          <w:tcPr>
            <w:tcW w:w="1909" w:type="pct"/>
            <w:noWrap w:val="0"/>
            <w:vAlign w:val="center"/>
          </w:tcPr>
          <w:p w14:paraId="1B40CB99">
            <w:pPr>
              <w:pStyle w:val="34"/>
              <w:keepNext w:val="0"/>
              <w:keepLines w:val="0"/>
              <w:pageBreakBefore w:val="0"/>
              <w:widowControl/>
              <w:shd w:val="clear" w:color="auto" w:fill="auto"/>
              <w:kinsoku/>
              <w:wordWrap/>
              <w:overflowPunct/>
              <w:topLinePunct w:val="0"/>
              <w:autoSpaceDE/>
              <w:autoSpaceDN/>
              <w:bidi w:val="0"/>
              <w:adjustRightInd/>
              <w:snapToGrid w:val="0"/>
              <w:spacing w:before="0" w:after="0"/>
              <w:ind w:left="0" w:right="0"/>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一般固废临时堆存期间满足《一般工业固体废物贮存</w:t>
            </w:r>
            <w:r>
              <w:rPr>
                <w:rFonts w:hint="eastAsia" w:ascii="宋体" w:hAnsi="宋体" w:eastAsia="宋体" w:cs="宋体"/>
                <w:color w:val="000000" w:themeColor="text1"/>
                <w:sz w:val="21"/>
                <w:szCs w:val="21"/>
                <w:lang w:val="en-US" w:eastAsia="zh-CN"/>
                <w14:textFill>
                  <w14:solidFill>
                    <w14:schemeClr w14:val="tx1"/>
                  </w14:solidFill>
                </w14:textFill>
              </w:rPr>
              <w:t>和填埋</w:t>
            </w:r>
            <w:r>
              <w:rPr>
                <w:rFonts w:hint="eastAsia" w:ascii="宋体" w:hAnsi="宋体" w:eastAsia="宋体" w:cs="宋体"/>
                <w:color w:val="000000" w:themeColor="text1"/>
                <w:sz w:val="21"/>
                <w:szCs w:val="21"/>
                <w14:textFill>
                  <w14:solidFill>
                    <w14:schemeClr w14:val="tx1"/>
                  </w14:solidFill>
                </w14:textFill>
              </w:rPr>
              <w:t>污染控制标准》（GB18599-20</w:t>
            </w:r>
            <w:r>
              <w:rPr>
                <w:rFonts w:hint="eastAsia" w:ascii="宋体" w:hAnsi="宋体" w:eastAsia="宋体" w:cs="宋体"/>
                <w:color w:val="000000" w:themeColor="text1"/>
                <w:sz w:val="21"/>
                <w:szCs w:val="21"/>
                <w:lang w:val="en-US" w:eastAsia="zh-CN"/>
                <w14:textFill>
                  <w14:solidFill>
                    <w14:schemeClr w14:val="tx1"/>
                  </w14:solidFill>
                </w14:textFill>
              </w:rPr>
              <w:t>20</w:t>
            </w:r>
            <w:r>
              <w:rPr>
                <w:rFonts w:hint="eastAsia" w:ascii="宋体" w:hAnsi="宋体" w:eastAsia="宋体" w:cs="宋体"/>
                <w:color w:val="000000" w:themeColor="text1"/>
                <w:sz w:val="21"/>
                <w:szCs w:val="21"/>
                <w14:textFill>
                  <w14:solidFill>
                    <w14:schemeClr w14:val="tx1"/>
                  </w14:solidFill>
                </w14:textFill>
              </w:rPr>
              <w:t>）要求</w:t>
            </w:r>
          </w:p>
        </w:tc>
        <w:tc>
          <w:tcPr>
            <w:tcW w:w="448" w:type="pct"/>
            <w:vMerge w:val="continue"/>
            <w:tcBorders>
              <w:right w:val="single" w:color="auto" w:sz="12" w:space="0"/>
            </w:tcBorders>
            <w:noWrap w:val="0"/>
            <w:vAlign w:val="center"/>
          </w:tcPr>
          <w:p w14:paraId="1D561A8B">
            <w:pPr>
              <w:pStyle w:val="34"/>
              <w:keepNext w:val="0"/>
              <w:keepLines w:val="0"/>
              <w:pageBreakBefore w:val="0"/>
              <w:shd w:val="clear" w:color="auto" w:fill="auto"/>
              <w:kinsoku/>
              <w:wordWrap/>
              <w:overflowPunct/>
              <w:topLinePunct w:val="0"/>
              <w:autoSpaceDE/>
              <w:autoSpaceDN/>
              <w:bidi w:val="0"/>
              <w:adjustRightInd/>
              <w:snapToGrid/>
              <w:spacing w:before="0" w:after="0"/>
              <w:ind w:left="0" w:right="0"/>
              <w:textAlignment w:val="auto"/>
              <w:rPr>
                <w:rFonts w:hint="eastAsia" w:ascii="宋体" w:hAnsi="宋体" w:eastAsia="宋体" w:cs="宋体"/>
                <w:color w:val="000000" w:themeColor="text1"/>
                <w:sz w:val="21"/>
                <w:szCs w:val="21"/>
                <w14:textFill>
                  <w14:solidFill>
                    <w14:schemeClr w14:val="tx1"/>
                  </w14:solidFill>
                </w14:textFill>
              </w:rPr>
            </w:pPr>
          </w:p>
        </w:tc>
      </w:tr>
      <w:tr w14:paraId="59F954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3" w:hRule="atLeast"/>
          <w:tblHeader/>
          <w:jc w:val="center"/>
        </w:trPr>
        <w:tc>
          <w:tcPr>
            <w:tcW w:w="431" w:type="pct"/>
            <w:vMerge w:val="continue"/>
            <w:tcBorders>
              <w:left w:val="single" w:color="auto" w:sz="12" w:space="0"/>
            </w:tcBorders>
            <w:noWrap w:val="0"/>
            <w:vAlign w:val="center"/>
          </w:tcPr>
          <w:p w14:paraId="014F14C4">
            <w:pPr>
              <w:pStyle w:val="34"/>
              <w:keepNext w:val="0"/>
              <w:keepLines w:val="0"/>
              <w:pageBreakBefore w:val="0"/>
              <w:widowControl/>
              <w:shd w:val="clear" w:color="auto" w:fill="auto"/>
              <w:kinsoku/>
              <w:wordWrap/>
              <w:overflowPunct/>
              <w:topLinePunct w:val="0"/>
              <w:autoSpaceDE/>
              <w:autoSpaceDN/>
              <w:bidi w:val="0"/>
              <w:adjustRightInd/>
              <w:snapToGrid w:val="0"/>
              <w:spacing w:before="0" w:after="0"/>
              <w:ind w:left="0" w:right="0"/>
              <w:textAlignment w:val="auto"/>
              <w:rPr>
                <w:rFonts w:hint="eastAsia" w:ascii="宋体" w:hAnsi="宋体" w:eastAsia="宋体" w:cs="宋体"/>
                <w:color w:val="000000" w:themeColor="text1"/>
                <w:sz w:val="21"/>
                <w:szCs w:val="21"/>
                <w14:textFill>
                  <w14:solidFill>
                    <w14:schemeClr w14:val="tx1"/>
                  </w14:solidFill>
                </w14:textFill>
              </w:rPr>
            </w:pPr>
          </w:p>
        </w:tc>
        <w:tc>
          <w:tcPr>
            <w:tcW w:w="1185" w:type="pct"/>
            <w:noWrap w:val="0"/>
            <w:vAlign w:val="center"/>
          </w:tcPr>
          <w:p w14:paraId="3A0D6541">
            <w:pPr>
              <w:pStyle w:val="34"/>
              <w:keepNext w:val="0"/>
              <w:keepLines w:val="0"/>
              <w:pageBreakBefore w:val="0"/>
              <w:widowControl/>
              <w:shd w:val="clear" w:color="auto" w:fill="auto"/>
              <w:kinsoku/>
              <w:wordWrap/>
              <w:overflowPunct/>
              <w:topLinePunct w:val="0"/>
              <w:autoSpaceDE/>
              <w:autoSpaceDN/>
              <w:bidi w:val="0"/>
              <w:adjustRightInd/>
              <w:snapToGrid w:val="0"/>
              <w:spacing w:before="0" w:after="0"/>
              <w:ind w:left="0" w:right="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危险固废临时堆存放设施</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kern w:val="0"/>
                <w:sz w:val="21"/>
                <w:szCs w:val="21"/>
                <w:lang w:val="zh-CN" w:eastAsia="zh-CN" w:bidi="ar-SA"/>
                <w14:textFill>
                  <w14:solidFill>
                    <w14:schemeClr w14:val="tx1"/>
                  </w14:solidFill>
                </w14:textFill>
              </w:rPr>
              <w:t>危险废物委托有资质单位进行处置；</w:t>
            </w:r>
          </w:p>
        </w:tc>
        <w:tc>
          <w:tcPr>
            <w:tcW w:w="523" w:type="pct"/>
            <w:vMerge w:val="continue"/>
            <w:tcBorders>
              <w:right w:val="single" w:color="auto" w:sz="2" w:space="0"/>
            </w:tcBorders>
            <w:noWrap w:val="0"/>
            <w:vAlign w:val="center"/>
          </w:tcPr>
          <w:p w14:paraId="456EEE03">
            <w:pPr>
              <w:pStyle w:val="34"/>
              <w:keepNext w:val="0"/>
              <w:keepLines w:val="0"/>
              <w:pageBreakBefore w:val="0"/>
              <w:widowControl/>
              <w:shd w:val="clear" w:color="auto" w:fill="auto"/>
              <w:kinsoku/>
              <w:wordWrap/>
              <w:overflowPunct/>
              <w:topLinePunct w:val="0"/>
              <w:autoSpaceDE/>
              <w:autoSpaceDN/>
              <w:bidi w:val="0"/>
              <w:adjustRightInd/>
              <w:snapToGrid w:val="0"/>
              <w:spacing w:before="0" w:after="0"/>
              <w:ind w:left="0" w:right="0"/>
              <w:textAlignment w:val="auto"/>
              <w:rPr>
                <w:rFonts w:hint="eastAsia" w:ascii="宋体" w:hAnsi="宋体" w:eastAsia="宋体" w:cs="宋体"/>
                <w:color w:val="000000" w:themeColor="text1"/>
                <w:sz w:val="21"/>
                <w:szCs w:val="21"/>
                <w14:textFill>
                  <w14:solidFill>
                    <w14:schemeClr w14:val="tx1"/>
                  </w14:solidFill>
                </w14:textFill>
              </w:rPr>
            </w:pPr>
          </w:p>
        </w:tc>
        <w:tc>
          <w:tcPr>
            <w:tcW w:w="501" w:type="pct"/>
            <w:vMerge w:val="continue"/>
            <w:tcBorders>
              <w:left w:val="single" w:color="auto" w:sz="2" w:space="0"/>
            </w:tcBorders>
            <w:noWrap w:val="0"/>
            <w:vAlign w:val="center"/>
          </w:tcPr>
          <w:p w14:paraId="7D96285A">
            <w:pPr>
              <w:pStyle w:val="34"/>
              <w:keepNext w:val="0"/>
              <w:keepLines w:val="0"/>
              <w:pageBreakBefore w:val="0"/>
              <w:widowControl/>
              <w:shd w:val="clear" w:color="auto" w:fill="auto"/>
              <w:kinsoku/>
              <w:wordWrap/>
              <w:overflowPunct/>
              <w:topLinePunct w:val="0"/>
              <w:autoSpaceDE/>
              <w:autoSpaceDN/>
              <w:bidi w:val="0"/>
              <w:adjustRightInd/>
              <w:snapToGrid w:val="0"/>
              <w:spacing w:before="0" w:after="0"/>
              <w:ind w:left="0" w:right="0"/>
              <w:textAlignment w:val="auto"/>
              <w:rPr>
                <w:rFonts w:hint="eastAsia" w:ascii="宋体" w:hAnsi="宋体" w:eastAsia="宋体" w:cs="宋体"/>
                <w:color w:val="000000" w:themeColor="text1"/>
                <w:sz w:val="21"/>
                <w:szCs w:val="21"/>
                <w:lang w:val="en-US" w:eastAsia="zh-CN"/>
                <w14:textFill>
                  <w14:solidFill>
                    <w14:schemeClr w14:val="tx1"/>
                  </w14:solidFill>
                </w14:textFill>
              </w:rPr>
            </w:pPr>
          </w:p>
        </w:tc>
        <w:tc>
          <w:tcPr>
            <w:tcW w:w="1909" w:type="pct"/>
            <w:noWrap w:val="0"/>
            <w:vAlign w:val="center"/>
          </w:tcPr>
          <w:p w14:paraId="43921DED">
            <w:pPr>
              <w:pStyle w:val="34"/>
              <w:keepNext w:val="0"/>
              <w:keepLines w:val="0"/>
              <w:pageBreakBefore w:val="0"/>
              <w:widowControl/>
              <w:shd w:val="clear" w:color="auto" w:fill="auto"/>
              <w:kinsoku/>
              <w:wordWrap/>
              <w:overflowPunct/>
              <w:topLinePunct w:val="0"/>
              <w:autoSpaceDE/>
              <w:autoSpaceDN/>
              <w:bidi w:val="0"/>
              <w:adjustRightInd/>
              <w:snapToGrid w:val="0"/>
              <w:spacing w:before="0" w:after="0"/>
              <w:ind w:left="0" w:right="0"/>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危险固废临时堆存期间满足《危险废物贮存污染控制标准》（GB18597-20</w:t>
            </w:r>
            <w:r>
              <w:rPr>
                <w:rFonts w:hint="eastAsia" w:ascii="宋体" w:hAnsi="宋体" w:eastAsia="宋体" w:cs="宋体"/>
                <w:color w:val="000000" w:themeColor="text1"/>
                <w:sz w:val="21"/>
                <w:szCs w:val="21"/>
                <w:lang w:val="en-US" w:eastAsia="zh-CN"/>
                <w14:textFill>
                  <w14:solidFill>
                    <w14:schemeClr w14:val="tx1"/>
                  </w14:solidFill>
                </w14:textFill>
              </w:rPr>
              <w:t>23</w:t>
            </w:r>
            <w:r>
              <w:rPr>
                <w:rFonts w:hint="eastAsia" w:ascii="宋体" w:hAnsi="宋体" w:eastAsia="宋体" w:cs="宋体"/>
                <w:color w:val="000000" w:themeColor="text1"/>
                <w:sz w:val="21"/>
                <w:szCs w:val="21"/>
                <w14:textFill>
                  <w14:solidFill>
                    <w14:schemeClr w14:val="tx1"/>
                  </w14:solidFill>
                </w14:textFill>
              </w:rPr>
              <w:t>）中相关规定</w:t>
            </w:r>
            <w:r>
              <w:rPr>
                <w:rFonts w:hint="eastAsia" w:ascii="宋体" w:hAnsi="宋体" w:eastAsia="宋体" w:cs="宋体"/>
                <w:color w:val="000000" w:themeColor="text1"/>
                <w:sz w:val="21"/>
                <w:szCs w:val="21"/>
                <w:lang w:eastAsia="zh-CN"/>
                <w14:textFill>
                  <w14:solidFill>
                    <w14:schemeClr w14:val="tx1"/>
                  </w14:solidFill>
                </w14:textFill>
              </w:rPr>
              <w:t>。</w:t>
            </w:r>
          </w:p>
        </w:tc>
        <w:tc>
          <w:tcPr>
            <w:tcW w:w="448" w:type="pct"/>
            <w:vMerge w:val="continue"/>
            <w:tcBorders>
              <w:right w:val="single" w:color="auto" w:sz="12" w:space="0"/>
            </w:tcBorders>
            <w:noWrap w:val="0"/>
            <w:vAlign w:val="center"/>
          </w:tcPr>
          <w:p w14:paraId="3F6C2060">
            <w:pPr>
              <w:pStyle w:val="34"/>
              <w:keepNext w:val="0"/>
              <w:keepLines w:val="0"/>
              <w:pageBreakBefore w:val="0"/>
              <w:shd w:val="clear" w:color="auto" w:fill="auto"/>
              <w:kinsoku/>
              <w:wordWrap/>
              <w:overflowPunct/>
              <w:topLinePunct w:val="0"/>
              <w:autoSpaceDE/>
              <w:autoSpaceDN/>
              <w:bidi w:val="0"/>
              <w:adjustRightInd/>
              <w:snapToGrid/>
              <w:spacing w:before="0" w:after="0"/>
              <w:ind w:left="0" w:right="0"/>
              <w:textAlignment w:val="auto"/>
              <w:rPr>
                <w:rFonts w:hint="eastAsia" w:ascii="宋体" w:hAnsi="宋体" w:eastAsia="宋体" w:cs="宋体"/>
                <w:color w:val="000000" w:themeColor="text1"/>
                <w:sz w:val="21"/>
                <w:szCs w:val="21"/>
                <w14:textFill>
                  <w14:solidFill>
                    <w14:schemeClr w14:val="tx1"/>
                  </w14:solidFill>
                </w14:textFill>
              </w:rPr>
            </w:pPr>
          </w:p>
        </w:tc>
      </w:tr>
      <w:tr w14:paraId="0D710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3" w:hRule="atLeast"/>
          <w:tblHeader/>
          <w:jc w:val="center"/>
        </w:trPr>
        <w:tc>
          <w:tcPr>
            <w:tcW w:w="431" w:type="pct"/>
            <w:tcBorders>
              <w:left w:val="single" w:color="auto" w:sz="12" w:space="0"/>
            </w:tcBorders>
            <w:noWrap w:val="0"/>
            <w:vAlign w:val="center"/>
          </w:tcPr>
          <w:p w14:paraId="23527593">
            <w:pPr>
              <w:pStyle w:val="34"/>
              <w:keepNext w:val="0"/>
              <w:keepLines w:val="0"/>
              <w:pageBreakBefore w:val="0"/>
              <w:widowControl/>
              <w:shd w:val="clear" w:color="auto" w:fill="auto"/>
              <w:kinsoku/>
              <w:wordWrap/>
              <w:overflowPunct/>
              <w:topLinePunct w:val="0"/>
              <w:autoSpaceDE/>
              <w:autoSpaceDN/>
              <w:bidi w:val="0"/>
              <w:adjustRightInd/>
              <w:snapToGrid w:val="0"/>
              <w:spacing w:before="0" w:after="0"/>
              <w:ind w:left="0" w:right="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分区防渗</w:t>
            </w:r>
          </w:p>
        </w:tc>
        <w:tc>
          <w:tcPr>
            <w:tcW w:w="1185" w:type="pct"/>
            <w:noWrap w:val="0"/>
            <w:vAlign w:val="center"/>
          </w:tcPr>
          <w:p w14:paraId="3227ED0F">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地面硬化；池体、地下管道等防渗</w:t>
            </w:r>
          </w:p>
        </w:tc>
        <w:tc>
          <w:tcPr>
            <w:tcW w:w="523" w:type="pct"/>
            <w:tcBorders>
              <w:right w:val="single" w:color="auto" w:sz="2" w:space="0"/>
            </w:tcBorders>
            <w:noWrap w:val="0"/>
            <w:vAlign w:val="center"/>
          </w:tcPr>
          <w:p w14:paraId="65DA5253">
            <w:pPr>
              <w:pStyle w:val="34"/>
              <w:keepNext w:val="0"/>
              <w:keepLines w:val="0"/>
              <w:pageBreakBefore w:val="0"/>
              <w:widowControl/>
              <w:shd w:val="clear" w:color="auto" w:fill="auto"/>
              <w:kinsoku/>
              <w:wordWrap/>
              <w:overflowPunct/>
              <w:topLinePunct w:val="0"/>
              <w:autoSpaceDE/>
              <w:autoSpaceDN/>
              <w:bidi w:val="0"/>
              <w:adjustRightInd/>
              <w:snapToGrid w:val="0"/>
              <w:spacing w:before="0" w:after="0"/>
              <w:ind w:left="0" w:right="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w:t>
            </w:r>
          </w:p>
        </w:tc>
        <w:tc>
          <w:tcPr>
            <w:tcW w:w="501" w:type="pct"/>
            <w:tcBorders>
              <w:left w:val="single" w:color="auto" w:sz="2" w:space="0"/>
            </w:tcBorders>
            <w:noWrap w:val="0"/>
            <w:vAlign w:val="center"/>
          </w:tcPr>
          <w:p w14:paraId="1B484326">
            <w:pPr>
              <w:pStyle w:val="34"/>
              <w:keepNext w:val="0"/>
              <w:keepLines w:val="0"/>
              <w:pageBreakBefore w:val="0"/>
              <w:widowControl/>
              <w:shd w:val="clear" w:color="auto" w:fill="auto"/>
              <w:kinsoku/>
              <w:wordWrap/>
              <w:overflowPunct/>
              <w:topLinePunct w:val="0"/>
              <w:autoSpaceDE/>
              <w:autoSpaceDN/>
              <w:bidi w:val="0"/>
              <w:adjustRightInd/>
              <w:snapToGrid w:val="0"/>
              <w:spacing w:before="0" w:after="0"/>
              <w:ind w:left="0" w:right="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9.5</w:t>
            </w:r>
          </w:p>
        </w:tc>
        <w:tc>
          <w:tcPr>
            <w:tcW w:w="1909" w:type="pct"/>
            <w:noWrap w:val="0"/>
            <w:vAlign w:val="center"/>
          </w:tcPr>
          <w:p w14:paraId="7CB5CA96">
            <w:pPr>
              <w:pStyle w:val="34"/>
              <w:keepNext w:val="0"/>
              <w:keepLines w:val="0"/>
              <w:pageBreakBefore w:val="0"/>
              <w:widowControl/>
              <w:shd w:val="clear" w:color="auto" w:fill="auto"/>
              <w:kinsoku/>
              <w:wordWrap/>
              <w:overflowPunct/>
              <w:topLinePunct w:val="0"/>
              <w:autoSpaceDE/>
              <w:autoSpaceDN/>
              <w:bidi w:val="0"/>
              <w:adjustRightInd/>
              <w:snapToGrid w:val="0"/>
              <w:spacing w:before="0" w:after="0"/>
              <w:ind w:left="0" w:right="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雨水经过分流后，可直接排入；分区防渗满足污染防渗区划分规定地面防渗层的要求</w:t>
            </w:r>
          </w:p>
        </w:tc>
        <w:tc>
          <w:tcPr>
            <w:tcW w:w="448" w:type="pct"/>
            <w:vMerge w:val="continue"/>
            <w:tcBorders>
              <w:right w:val="single" w:color="auto" w:sz="12" w:space="0"/>
            </w:tcBorders>
            <w:noWrap w:val="0"/>
            <w:vAlign w:val="center"/>
          </w:tcPr>
          <w:p w14:paraId="0D6C25CD">
            <w:pPr>
              <w:pStyle w:val="34"/>
              <w:keepNext w:val="0"/>
              <w:keepLines w:val="0"/>
              <w:pageBreakBefore w:val="0"/>
              <w:shd w:val="clear" w:color="auto" w:fill="auto"/>
              <w:kinsoku/>
              <w:wordWrap/>
              <w:overflowPunct/>
              <w:topLinePunct w:val="0"/>
              <w:autoSpaceDE/>
              <w:autoSpaceDN/>
              <w:bidi w:val="0"/>
              <w:adjustRightInd/>
              <w:snapToGrid/>
              <w:spacing w:before="0" w:after="0"/>
              <w:ind w:left="0" w:right="0"/>
              <w:textAlignment w:val="auto"/>
              <w:rPr>
                <w:rFonts w:hint="eastAsia" w:ascii="宋体" w:hAnsi="宋体" w:eastAsia="宋体" w:cs="宋体"/>
                <w:color w:val="000000" w:themeColor="text1"/>
                <w:sz w:val="21"/>
                <w:szCs w:val="21"/>
                <w14:textFill>
                  <w14:solidFill>
                    <w14:schemeClr w14:val="tx1"/>
                  </w14:solidFill>
                </w14:textFill>
              </w:rPr>
            </w:pPr>
          </w:p>
        </w:tc>
      </w:tr>
      <w:tr w14:paraId="758799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3" w:hRule="atLeast"/>
          <w:tblHeader/>
          <w:jc w:val="center"/>
        </w:trPr>
        <w:tc>
          <w:tcPr>
            <w:tcW w:w="431" w:type="pct"/>
            <w:tcBorders>
              <w:left w:val="single" w:color="auto" w:sz="12" w:space="0"/>
              <w:bottom w:val="single" w:color="auto" w:sz="12" w:space="0"/>
            </w:tcBorders>
            <w:noWrap w:val="0"/>
            <w:vAlign w:val="center"/>
          </w:tcPr>
          <w:p w14:paraId="11B24403">
            <w:pPr>
              <w:pStyle w:val="34"/>
              <w:keepNext w:val="0"/>
              <w:keepLines w:val="0"/>
              <w:pageBreakBefore w:val="0"/>
              <w:shd w:val="clear" w:color="auto" w:fill="auto"/>
              <w:kinsoku/>
              <w:wordWrap/>
              <w:overflowPunct/>
              <w:topLinePunct w:val="0"/>
              <w:autoSpaceDE/>
              <w:autoSpaceDN/>
              <w:bidi w:val="0"/>
              <w:adjustRightInd/>
              <w:snapToGrid/>
              <w:spacing w:before="0" w:after="0"/>
              <w:ind w:left="0" w:right="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合计</w:t>
            </w:r>
          </w:p>
        </w:tc>
        <w:tc>
          <w:tcPr>
            <w:tcW w:w="1185" w:type="pct"/>
            <w:tcBorders>
              <w:bottom w:val="single" w:color="auto" w:sz="12" w:space="0"/>
            </w:tcBorders>
            <w:noWrap w:val="0"/>
            <w:vAlign w:val="center"/>
          </w:tcPr>
          <w:p w14:paraId="0A058F31">
            <w:pPr>
              <w:pStyle w:val="34"/>
              <w:keepNext w:val="0"/>
              <w:keepLines w:val="0"/>
              <w:pageBreakBefore w:val="0"/>
              <w:shd w:val="clear" w:color="auto" w:fill="auto"/>
              <w:kinsoku/>
              <w:wordWrap/>
              <w:overflowPunct/>
              <w:topLinePunct w:val="0"/>
              <w:autoSpaceDE/>
              <w:autoSpaceDN/>
              <w:bidi w:val="0"/>
              <w:adjustRightInd/>
              <w:snapToGrid/>
              <w:spacing w:before="0" w:after="0"/>
              <w:ind w:left="0" w:right="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c>
          <w:tcPr>
            <w:tcW w:w="523" w:type="pct"/>
            <w:tcBorders>
              <w:bottom w:val="single" w:color="auto" w:sz="12" w:space="0"/>
              <w:right w:val="single" w:color="auto" w:sz="2" w:space="0"/>
            </w:tcBorders>
            <w:noWrap w:val="0"/>
            <w:vAlign w:val="center"/>
          </w:tcPr>
          <w:p w14:paraId="77C211EA">
            <w:pPr>
              <w:pStyle w:val="34"/>
              <w:keepNext w:val="0"/>
              <w:keepLines w:val="0"/>
              <w:pageBreakBefore w:val="0"/>
              <w:shd w:val="clear" w:color="auto" w:fill="auto"/>
              <w:kinsoku/>
              <w:wordWrap/>
              <w:overflowPunct/>
              <w:topLinePunct w:val="0"/>
              <w:autoSpaceDE/>
              <w:autoSpaceDN/>
              <w:bidi w:val="0"/>
              <w:adjustRightInd/>
              <w:snapToGrid/>
              <w:spacing w:before="0" w:after="0"/>
              <w:ind w:left="0" w:right="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2419.39</w:t>
            </w:r>
          </w:p>
        </w:tc>
        <w:tc>
          <w:tcPr>
            <w:tcW w:w="501" w:type="pct"/>
            <w:tcBorders>
              <w:left w:val="single" w:color="auto" w:sz="2" w:space="0"/>
              <w:bottom w:val="single" w:color="auto" w:sz="12" w:space="0"/>
            </w:tcBorders>
            <w:noWrap w:val="0"/>
            <w:vAlign w:val="center"/>
          </w:tcPr>
          <w:p w14:paraId="4DCD8A2E">
            <w:pPr>
              <w:pStyle w:val="34"/>
              <w:keepNext w:val="0"/>
              <w:keepLines w:val="0"/>
              <w:pageBreakBefore w:val="0"/>
              <w:shd w:val="clear" w:color="auto" w:fill="auto"/>
              <w:kinsoku/>
              <w:wordWrap/>
              <w:overflowPunct/>
              <w:topLinePunct w:val="0"/>
              <w:autoSpaceDE/>
              <w:autoSpaceDN/>
              <w:bidi w:val="0"/>
              <w:adjustRightInd/>
              <w:snapToGrid/>
              <w:spacing w:before="0" w:after="0"/>
              <w:ind w:left="0" w:right="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2712.32</w:t>
            </w:r>
          </w:p>
        </w:tc>
        <w:tc>
          <w:tcPr>
            <w:tcW w:w="1909" w:type="pct"/>
            <w:tcBorders>
              <w:bottom w:val="single" w:color="auto" w:sz="12" w:space="0"/>
            </w:tcBorders>
            <w:noWrap w:val="0"/>
            <w:vAlign w:val="center"/>
          </w:tcPr>
          <w:p w14:paraId="38C1917F">
            <w:pPr>
              <w:pStyle w:val="34"/>
              <w:keepNext w:val="0"/>
              <w:keepLines w:val="0"/>
              <w:pageBreakBefore w:val="0"/>
              <w:shd w:val="clear" w:color="auto" w:fill="auto"/>
              <w:kinsoku/>
              <w:wordWrap/>
              <w:overflowPunct/>
              <w:topLinePunct w:val="0"/>
              <w:autoSpaceDE/>
              <w:autoSpaceDN/>
              <w:bidi w:val="0"/>
              <w:adjustRightInd/>
              <w:snapToGrid/>
              <w:spacing w:before="0" w:after="0"/>
              <w:ind w:left="0" w:right="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c>
          <w:tcPr>
            <w:tcW w:w="448" w:type="pct"/>
            <w:vMerge w:val="continue"/>
            <w:tcBorders>
              <w:bottom w:val="single" w:color="auto" w:sz="12" w:space="0"/>
              <w:right w:val="single" w:color="auto" w:sz="12" w:space="0"/>
            </w:tcBorders>
            <w:noWrap w:val="0"/>
            <w:vAlign w:val="center"/>
          </w:tcPr>
          <w:p w14:paraId="32C212E0">
            <w:pPr>
              <w:pStyle w:val="34"/>
              <w:keepNext w:val="0"/>
              <w:keepLines w:val="0"/>
              <w:pageBreakBefore w:val="0"/>
              <w:shd w:val="clear" w:color="auto" w:fill="auto"/>
              <w:kinsoku/>
              <w:wordWrap/>
              <w:overflowPunct/>
              <w:topLinePunct w:val="0"/>
              <w:autoSpaceDE/>
              <w:autoSpaceDN/>
              <w:bidi w:val="0"/>
              <w:adjustRightInd/>
              <w:snapToGrid/>
              <w:spacing w:before="0" w:after="0"/>
              <w:ind w:left="0" w:right="0"/>
              <w:textAlignment w:val="auto"/>
              <w:rPr>
                <w:rFonts w:hint="eastAsia" w:ascii="宋体" w:hAnsi="宋体" w:eastAsia="宋体" w:cs="宋体"/>
                <w:color w:val="000000" w:themeColor="text1"/>
                <w:sz w:val="21"/>
                <w:szCs w:val="21"/>
                <w14:textFill>
                  <w14:solidFill>
                    <w14:schemeClr w14:val="tx1"/>
                  </w14:solidFill>
                </w14:textFill>
              </w:rPr>
            </w:pPr>
          </w:p>
        </w:tc>
      </w:tr>
    </w:tbl>
    <w:p w14:paraId="14860A14">
      <w:pPr>
        <w:rPr>
          <w:rFonts w:hint="default" w:ascii="宋体" w:hAnsi="宋体" w:cs="宋体"/>
          <w:b/>
          <w:bCs/>
          <w:color w:val="FF0000"/>
          <w:kern w:val="0"/>
          <w:sz w:val="24"/>
          <w:szCs w:val="24"/>
          <w:lang w:val="en-US" w:eastAsia="zh-CN" w:bidi="ar"/>
        </w:rPr>
        <w:sectPr>
          <w:pgSz w:w="11906" w:h="16838"/>
          <w:pgMar w:top="1440" w:right="1800" w:bottom="1440" w:left="1800" w:header="850" w:footer="1020" w:gutter="0"/>
          <w:pgBorders w:offsetFrom="page">
            <w:top w:val="none" w:sz="0" w:space="0"/>
            <w:left w:val="none" w:sz="0" w:space="0"/>
            <w:bottom w:val="none" w:sz="0" w:space="0"/>
            <w:right w:val="none" w:sz="0" w:space="0"/>
          </w:pgBorders>
          <w:pgNumType w:fmt="decimal"/>
          <w:cols w:space="425" w:num="1"/>
          <w:docGrid w:type="lines" w:linePitch="312" w:charSpace="0"/>
        </w:sectPr>
      </w:pPr>
    </w:p>
    <w:p w14:paraId="7EB59D35">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GB"/>
          <w14:textFill>
            <w14:solidFill>
              <w14:schemeClr w14:val="tx1"/>
            </w14:solidFill>
          </w14:textFill>
        </w:rPr>
        <w:t>项目在试运营期对环评报告</w:t>
      </w:r>
      <w:r>
        <w:rPr>
          <w:rFonts w:hint="eastAsia" w:ascii="宋体" w:hAnsi="宋体" w:eastAsia="宋体" w:cs="宋体"/>
          <w:color w:val="000000" w:themeColor="text1"/>
          <w:lang w:val="en-US" w:eastAsia="zh-CN"/>
          <w14:textFill>
            <w14:solidFill>
              <w14:schemeClr w14:val="tx1"/>
            </w14:solidFill>
          </w14:textFill>
        </w:rPr>
        <w:t>表</w:t>
      </w:r>
      <w:r>
        <w:rPr>
          <w:rFonts w:hint="eastAsia" w:ascii="宋体" w:hAnsi="宋体" w:eastAsia="宋体" w:cs="宋体"/>
          <w:color w:val="000000" w:themeColor="text1"/>
          <w:lang w:val="en-GB"/>
          <w14:textFill>
            <w14:solidFill>
              <w14:schemeClr w14:val="tx1"/>
            </w14:solidFill>
          </w14:textFill>
        </w:rPr>
        <w:t>提出的环境保护措施的落实对照情况见表4-2。</w:t>
      </w:r>
    </w:p>
    <w:p w14:paraId="5BF1A816">
      <w:pPr>
        <w:keepNext w:val="0"/>
        <w:keepLines w:val="0"/>
        <w:widowControl/>
        <w:suppressLineNumbers w:val="0"/>
        <w:jc w:val="center"/>
        <w:rPr>
          <w:rFonts w:hint="default" w:ascii="宋体" w:hAnsi="宋体" w:cs="宋体"/>
          <w:b/>
          <w:bCs/>
          <w:color w:val="000000" w:themeColor="text1"/>
          <w:kern w:val="0"/>
          <w:sz w:val="24"/>
          <w:szCs w:val="24"/>
          <w:lang w:val="en-US" w:eastAsia="zh-CN" w:bidi="ar"/>
          <w14:textFill>
            <w14:solidFill>
              <w14:schemeClr w14:val="tx1"/>
            </w14:solidFill>
          </w14:textFill>
        </w:rPr>
      </w:pPr>
      <w:r>
        <w:rPr>
          <w:rFonts w:hint="eastAsia" w:ascii="宋体" w:hAnsi="宋体" w:eastAsia="宋体" w:cs="宋体"/>
          <w:b/>
          <w:bCs w:val="0"/>
          <w:color w:val="000000" w:themeColor="text1"/>
          <w:kern w:val="0"/>
          <w:sz w:val="24"/>
          <w:szCs w:val="20"/>
          <w:lang w:val="en-US" w:eastAsia="zh-CN" w:bidi="ar-SA"/>
          <w14:textFill>
            <w14:solidFill>
              <w14:schemeClr w14:val="tx1"/>
            </w14:solidFill>
          </w14:textFill>
        </w:rPr>
        <w:t>表4.6-2  工程“三同时”验收一览表</w:t>
      </w:r>
    </w:p>
    <w:tbl>
      <w:tblPr>
        <w:tblStyle w:val="19"/>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932"/>
        <w:gridCol w:w="3289"/>
        <w:gridCol w:w="3471"/>
        <w:gridCol w:w="1629"/>
        <w:gridCol w:w="4086"/>
      </w:tblGrid>
      <w:tr w14:paraId="00ABD8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267" w:type="pct"/>
            <w:tcBorders>
              <w:tl2br w:val="nil"/>
              <w:tr2bl w:val="nil"/>
            </w:tcBorders>
            <w:noWrap w:val="0"/>
            <w:vAlign w:val="center"/>
          </w:tcPr>
          <w:p w14:paraId="79BA3532">
            <w:pPr>
              <w:pStyle w:val="34"/>
              <w:keepNext w:val="0"/>
              <w:keepLines w:val="0"/>
              <w:pageBreakBefore w:val="0"/>
              <w:shd w:val="clear" w:color="auto" w:fill="auto"/>
              <w:kinsoku/>
              <w:wordWrap/>
              <w:overflowPunct/>
              <w:topLinePunct w:val="0"/>
              <w:autoSpaceDE/>
              <w:autoSpaceDN/>
              <w:bidi w:val="0"/>
              <w:adjustRightInd/>
              <w:snapToGrid/>
              <w:spacing w:before="0" w:after="0"/>
              <w:ind w:left="0" w:right="0"/>
              <w:textAlignment w:val="auto"/>
              <w:rPr>
                <w:rFonts w:hint="eastAsia" w:ascii="宋体" w:hAnsi="宋体" w:eastAsia="宋体" w:cs="宋体"/>
                <w:b/>
                <w:bCs/>
                <w:color w:val="000000" w:themeColor="text1"/>
                <w:sz w:val="21"/>
                <w:szCs w:val="21"/>
                <w:lang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项目</w:t>
            </w:r>
          </w:p>
        </w:tc>
        <w:tc>
          <w:tcPr>
            <w:tcW w:w="329" w:type="pct"/>
            <w:tcBorders>
              <w:tl2br w:val="nil"/>
              <w:tr2bl w:val="nil"/>
            </w:tcBorders>
            <w:noWrap w:val="0"/>
            <w:vAlign w:val="center"/>
          </w:tcPr>
          <w:p w14:paraId="7C14D9F5">
            <w:pPr>
              <w:pStyle w:val="34"/>
              <w:keepNext w:val="0"/>
              <w:keepLines w:val="0"/>
              <w:pageBreakBefore w:val="0"/>
              <w:shd w:val="clear" w:color="auto" w:fill="auto"/>
              <w:kinsoku/>
              <w:wordWrap/>
              <w:overflowPunct/>
              <w:topLinePunct w:val="0"/>
              <w:autoSpaceDE/>
              <w:autoSpaceDN/>
              <w:bidi w:val="0"/>
              <w:adjustRightInd/>
              <w:snapToGrid/>
              <w:spacing w:before="0" w:after="0"/>
              <w:ind w:left="0" w:right="0"/>
              <w:textAlignment w:val="auto"/>
              <w:rPr>
                <w:rFonts w:hint="eastAsia" w:ascii="宋体" w:hAnsi="宋体" w:eastAsia="宋体" w:cs="宋体"/>
                <w:b/>
                <w:bCs/>
                <w:color w:val="000000" w:themeColor="text1"/>
                <w:sz w:val="21"/>
                <w:szCs w:val="21"/>
                <w:lang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污染源</w:t>
            </w:r>
          </w:p>
        </w:tc>
        <w:tc>
          <w:tcPr>
            <w:tcW w:w="1161" w:type="pct"/>
            <w:tcBorders>
              <w:tl2br w:val="nil"/>
              <w:tr2bl w:val="nil"/>
            </w:tcBorders>
            <w:noWrap w:val="0"/>
            <w:vAlign w:val="center"/>
          </w:tcPr>
          <w:p w14:paraId="70318A4D">
            <w:pPr>
              <w:pStyle w:val="34"/>
              <w:keepNext w:val="0"/>
              <w:keepLines w:val="0"/>
              <w:pageBreakBefore w:val="0"/>
              <w:shd w:val="clear" w:color="auto" w:fill="auto"/>
              <w:kinsoku/>
              <w:wordWrap/>
              <w:overflowPunct/>
              <w:topLinePunct w:val="0"/>
              <w:autoSpaceDE/>
              <w:autoSpaceDN/>
              <w:bidi w:val="0"/>
              <w:adjustRightInd/>
              <w:snapToGrid/>
              <w:spacing w:before="0" w:after="0"/>
              <w:ind w:left="0" w:right="0"/>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验收内容</w:t>
            </w:r>
          </w:p>
        </w:tc>
        <w:tc>
          <w:tcPr>
            <w:tcW w:w="1225" w:type="pct"/>
            <w:tcBorders>
              <w:tl2br w:val="nil"/>
              <w:tr2bl w:val="nil"/>
            </w:tcBorders>
            <w:noWrap w:val="0"/>
            <w:vAlign w:val="center"/>
          </w:tcPr>
          <w:p w14:paraId="641C9020">
            <w:pPr>
              <w:pStyle w:val="34"/>
              <w:keepNext w:val="0"/>
              <w:keepLines w:val="0"/>
              <w:pageBreakBefore w:val="0"/>
              <w:shd w:val="clear" w:color="auto" w:fill="auto"/>
              <w:kinsoku/>
              <w:wordWrap/>
              <w:overflowPunct/>
              <w:topLinePunct w:val="0"/>
              <w:autoSpaceDE/>
              <w:autoSpaceDN/>
              <w:bidi w:val="0"/>
              <w:adjustRightInd/>
              <w:snapToGrid/>
              <w:spacing w:before="0" w:after="0"/>
              <w:ind w:left="0" w:right="0"/>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验收要求</w:t>
            </w:r>
          </w:p>
        </w:tc>
        <w:tc>
          <w:tcPr>
            <w:tcW w:w="574" w:type="pct"/>
            <w:tcBorders>
              <w:tl2br w:val="nil"/>
              <w:tr2bl w:val="nil"/>
            </w:tcBorders>
            <w:noWrap w:val="0"/>
            <w:vAlign w:val="center"/>
          </w:tcPr>
          <w:p w14:paraId="4FBF0E1E">
            <w:pPr>
              <w:pStyle w:val="34"/>
              <w:keepNext w:val="0"/>
              <w:keepLines w:val="0"/>
              <w:pageBreakBefore w:val="0"/>
              <w:shd w:val="clear" w:color="auto" w:fill="auto"/>
              <w:kinsoku/>
              <w:wordWrap/>
              <w:overflowPunct/>
              <w:topLinePunct w:val="0"/>
              <w:autoSpaceDE/>
              <w:autoSpaceDN/>
              <w:bidi w:val="0"/>
              <w:adjustRightInd/>
              <w:snapToGrid/>
              <w:spacing w:before="0" w:after="0"/>
              <w:ind w:left="0" w:right="0"/>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验收节点</w:t>
            </w:r>
          </w:p>
        </w:tc>
        <w:tc>
          <w:tcPr>
            <w:tcW w:w="1442" w:type="pct"/>
            <w:tcBorders>
              <w:tl2br w:val="nil"/>
              <w:tr2bl w:val="nil"/>
            </w:tcBorders>
            <w:noWrap w:val="0"/>
            <w:vAlign w:val="center"/>
          </w:tcPr>
          <w:p w14:paraId="0FAE8634">
            <w:pPr>
              <w:pStyle w:val="34"/>
              <w:keepNext w:val="0"/>
              <w:keepLines w:val="0"/>
              <w:pageBreakBefore w:val="0"/>
              <w:shd w:val="clear" w:color="auto" w:fill="auto"/>
              <w:kinsoku/>
              <w:wordWrap/>
              <w:overflowPunct/>
              <w:topLinePunct w:val="0"/>
              <w:autoSpaceDE/>
              <w:autoSpaceDN/>
              <w:bidi w:val="0"/>
              <w:adjustRightInd/>
              <w:snapToGrid/>
              <w:spacing w:before="0" w:after="0"/>
              <w:ind w:left="0" w:right="0"/>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实际情况</w:t>
            </w:r>
          </w:p>
        </w:tc>
      </w:tr>
      <w:tr w14:paraId="46DCA2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267" w:type="pct"/>
            <w:tcBorders>
              <w:tl2br w:val="nil"/>
              <w:tr2bl w:val="nil"/>
            </w:tcBorders>
            <w:noWrap w:val="0"/>
            <w:vAlign w:val="center"/>
          </w:tcPr>
          <w:p w14:paraId="4AA3F816">
            <w:pPr>
              <w:pStyle w:val="34"/>
              <w:keepNext w:val="0"/>
              <w:keepLines w:val="0"/>
              <w:pageBreakBefore w:val="0"/>
              <w:widowControl/>
              <w:shd w:val="clear" w:color="auto" w:fill="auto"/>
              <w:kinsoku/>
              <w:wordWrap/>
              <w:overflowPunct/>
              <w:topLinePunct w:val="0"/>
              <w:autoSpaceDE/>
              <w:autoSpaceDN/>
              <w:bidi w:val="0"/>
              <w:adjustRightInd/>
              <w:snapToGrid w:val="0"/>
              <w:spacing w:before="0" w:after="0"/>
              <w:ind w:left="0" w:right="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废气治理</w:t>
            </w:r>
          </w:p>
        </w:tc>
        <w:tc>
          <w:tcPr>
            <w:tcW w:w="329" w:type="pct"/>
            <w:tcBorders>
              <w:tl2br w:val="nil"/>
              <w:tr2bl w:val="nil"/>
            </w:tcBorders>
            <w:noWrap w:val="0"/>
            <w:vAlign w:val="center"/>
          </w:tcPr>
          <w:p w14:paraId="47AB28C3">
            <w:pPr>
              <w:keepNext w:val="0"/>
              <w:keepLines w:val="0"/>
              <w:pageBreakBefore w:val="0"/>
              <w:widowControl/>
              <w:shd w:val="clear" w:color="auto" w:fill="auto"/>
              <w:kinsoku/>
              <w:wordWrap/>
              <w:overflowPunct/>
              <w:topLinePunct w:val="0"/>
              <w:autoSpaceDE/>
              <w:autoSpaceDN/>
              <w:bidi w:val="0"/>
              <w:adjustRightInd/>
              <w:snapToGrid w:val="0"/>
              <w:ind w:left="-60" w:leftChars="-25" w:right="-60" w:rightChars="-25"/>
              <w:jc w:val="center"/>
              <w:textAlignment w:val="auto"/>
              <w:rPr>
                <w:rFonts w:hint="eastAsia"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恶臭</w:t>
            </w:r>
          </w:p>
        </w:tc>
        <w:tc>
          <w:tcPr>
            <w:tcW w:w="1161" w:type="pct"/>
            <w:tcBorders>
              <w:tl2br w:val="nil"/>
              <w:tr2bl w:val="nil"/>
            </w:tcBorders>
            <w:noWrap w:val="0"/>
            <w:vAlign w:val="center"/>
          </w:tcPr>
          <w:p w14:paraId="51F68E77">
            <w:pPr>
              <w:keepNext w:val="0"/>
              <w:keepLines w:val="0"/>
              <w:pageBreakBefore w:val="0"/>
              <w:widowControl/>
              <w:shd w:val="clear" w:color="auto" w:fill="auto"/>
              <w:kinsoku/>
              <w:wordWrap/>
              <w:overflowPunct/>
              <w:topLinePunct w:val="0"/>
              <w:autoSpaceDE/>
              <w:autoSpaceDN/>
              <w:bidi w:val="0"/>
              <w:adjustRightInd/>
              <w:snapToGrid w:val="0"/>
              <w:ind w:left="-60" w:leftChars="-25" w:right="-60" w:rightChars="-25"/>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依托一期一阶段，污水处理厂粗格栅及进水泵房、细格栅及曝气沉砂池、污泥浓缩脱水车间产生的臭气经收集后通过1套生物除臭滤池处理后排放。</w:t>
            </w:r>
          </w:p>
        </w:tc>
        <w:tc>
          <w:tcPr>
            <w:tcW w:w="1225" w:type="pct"/>
            <w:tcBorders>
              <w:tl2br w:val="nil"/>
              <w:tr2bl w:val="nil"/>
            </w:tcBorders>
            <w:noWrap w:val="0"/>
            <w:vAlign w:val="center"/>
          </w:tcPr>
          <w:p w14:paraId="49A0F490">
            <w:pPr>
              <w:keepNext w:val="0"/>
              <w:keepLines w:val="0"/>
              <w:pageBreakBefore w:val="0"/>
              <w:widowControl/>
              <w:shd w:val="clear" w:color="auto" w:fill="auto"/>
              <w:kinsoku/>
              <w:wordWrap/>
              <w:overflowPunct/>
              <w:topLinePunct w:val="0"/>
              <w:autoSpaceDE/>
              <w:autoSpaceDN/>
              <w:bidi w:val="0"/>
              <w:adjustRightInd/>
              <w:snapToGrid w:val="0"/>
              <w:ind w:left="-60" w:leftChars="-25" w:right="-60" w:rightChars="-25"/>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恶臭污染物有组织排放执行《恶臭污染物排放标准》（GB14554-1993）表2排放标准；恶臭污染物无组织排放执行《城镇污水处理厂污染物排放标准》（GB18918-2002）表5厂界废气排放最高允许浓度中二级标准。</w:t>
            </w:r>
          </w:p>
        </w:tc>
        <w:tc>
          <w:tcPr>
            <w:tcW w:w="574" w:type="pct"/>
            <w:tcBorders>
              <w:tl2br w:val="nil"/>
              <w:tr2bl w:val="nil"/>
            </w:tcBorders>
            <w:noWrap w:val="0"/>
            <w:vAlign w:val="center"/>
          </w:tcPr>
          <w:p w14:paraId="5DA118BA">
            <w:pPr>
              <w:keepNext w:val="0"/>
              <w:keepLines w:val="0"/>
              <w:widowControl/>
              <w:suppressLineNumbers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除臭排气筒出口以及厂界</w:t>
            </w:r>
          </w:p>
        </w:tc>
        <w:tc>
          <w:tcPr>
            <w:tcW w:w="1442" w:type="pct"/>
            <w:tcBorders>
              <w:tl2br w:val="nil"/>
              <w:tr2bl w:val="nil"/>
            </w:tcBorders>
            <w:noWrap w:val="0"/>
            <w:vAlign w:val="center"/>
          </w:tcPr>
          <w:p w14:paraId="3997AAFE">
            <w:pPr>
              <w:keepNext w:val="0"/>
              <w:keepLines w:val="0"/>
              <w:pageBreakBefore w:val="0"/>
              <w:widowControl/>
              <w:shd w:val="clear" w:color="auto" w:fill="auto"/>
              <w:kinsoku/>
              <w:wordWrap/>
              <w:overflowPunct/>
              <w:topLinePunct w:val="0"/>
              <w:autoSpaceDE/>
              <w:autoSpaceDN/>
              <w:bidi w:val="0"/>
              <w:adjustRightInd/>
              <w:snapToGrid w:val="0"/>
              <w:ind w:left="-60" w:leftChars="-25" w:right="-60" w:rightChars="-25"/>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依托一期一阶段已建生物滤池除臭设施处理，处理后通过1#排气筒排放，经监测恶臭污染物有组织排放达到《恶臭污染物排放标准》（GB14554-1993）表2排放标准；恶臭污染物无组织排放达到《城镇污水处理厂污染物排放标准》（GB18918-2002）表5厂界废气排放最高允许浓度中二级标准。</w:t>
            </w:r>
          </w:p>
        </w:tc>
      </w:tr>
      <w:tr w14:paraId="2884E7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267" w:type="pct"/>
            <w:vMerge w:val="restart"/>
            <w:tcBorders>
              <w:tl2br w:val="nil"/>
              <w:tr2bl w:val="nil"/>
            </w:tcBorders>
            <w:noWrap w:val="0"/>
            <w:vAlign w:val="center"/>
          </w:tcPr>
          <w:p w14:paraId="5ED3D301">
            <w:pPr>
              <w:pStyle w:val="34"/>
              <w:keepNext w:val="0"/>
              <w:keepLines w:val="0"/>
              <w:pageBreakBefore w:val="0"/>
              <w:widowControl/>
              <w:shd w:val="clear" w:color="auto" w:fill="auto"/>
              <w:kinsoku/>
              <w:wordWrap/>
              <w:overflowPunct/>
              <w:topLinePunct w:val="0"/>
              <w:autoSpaceDE/>
              <w:autoSpaceDN/>
              <w:bidi w:val="0"/>
              <w:adjustRightInd/>
              <w:snapToGrid w:val="0"/>
              <w:spacing w:before="0" w:after="0"/>
              <w:ind w:left="0" w:right="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废水处理</w:t>
            </w:r>
          </w:p>
        </w:tc>
        <w:tc>
          <w:tcPr>
            <w:tcW w:w="329" w:type="pct"/>
            <w:vMerge w:val="restart"/>
            <w:tcBorders>
              <w:tl2br w:val="nil"/>
              <w:tr2bl w:val="nil"/>
            </w:tcBorders>
            <w:noWrap w:val="0"/>
            <w:vAlign w:val="center"/>
          </w:tcPr>
          <w:p w14:paraId="128E8BA1">
            <w:pPr>
              <w:keepNext w:val="0"/>
              <w:keepLines w:val="0"/>
              <w:pageBreakBefore w:val="0"/>
              <w:widowControl/>
              <w:shd w:val="clear" w:color="auto" w:fill="auto"/>
              <w:kinsoku/>
              <w:wordWrap/>
              <w:overflowPunct/>
              <w:topLinePunct w:val="0"/>
              <w:autoSpaceDE/>
              <w:autoSpaceDN/>
              <w:bidi w:val="0"/>
              <w:adjustRightInd/>
              <w:snapToGrid w:val="0"/>
              <w:ind w:left="-60" w:leftChars="-25" w:right="-60" w:rightChars="-25"/>
              <w:jc w:val="center"/>
              <w:textAlignment w:val="auto"/>
              <w:rPr>
                <w:rFonts w:hint="eastAsia"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尾水排放</w:t>
            </w:r>
          </w:p>
        </w:tc>
        <w:tc>
          <w:tcPr>
            <w:tcW w:w="1161" w:type="pct"/>
            <w:tcBorders>
              <w:tl2br w:val="nil"/>
              <w:tr2bl w:val="nil"/>
            </w:tcBorders>
            <w:noWrap w:val="0"/>
            <w:vAlign w:val="center"/>
          </w:tcPr>
          <w:p w14:paraId="3A5AD822">
            <w:pPr>
              <w:keepNext w:val="0"/>
              <w:keepLines w:val="0"/>
              <w:pageBreakBefore w:val="0"/>
              <w:widowControl/>
              <w:shd w:val="clear" w:color="auto" w:fill="auto"/>
              <w:kinsoku/>
              <w:wordWrap/>
              <w:overflowPunct/>
              <w:topLinePunct w:val="0"/>
              <w:autoSpaceDE/>
              <w:autoSpaceDN/>
              <w:bidi w:val="0"/>
              <w:adjustRightInd/>
              <w:snapToGrid w:val="0"/>
              <w:ind w:left="-60" w:leftChars="-25" w:right="-60" w:rightChars="-25"/>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改良型AAO氧化沟工艺+高效沉淀+反硝化深床滤池</w:t>
            </w:r>
            <w:r>
              <w:rPr>
                <w:rFonts w:hint="eastAsia" w:ascii="宋体" w:hAnsi="宋体" w:eastAsia="宋体" w:cs="宋体"/>
                <w:color w:val="000000" w:themeColor="text1"/>
                <w:kern w:val="0"/>
                <w:sz w:val="21"/>
                <w:szCs w:val="21"/>
                <w:lang w:val="en-US" w:eastAsia="zh-CN" w:bidi="ar"/>
                <w14:textFill>
                  <w14:solidFill>
                    <w14:schemeClr w14:val="tx1"/>
                  </w14:solidFill>
                </w14:textFill>
              </w:rPr>
              <w:t>。</w:t>
            </w:r>
          </w:p>
        </w:tc>
        <w:tc>
          <w:tcPr>
            <w:tcW w:w="1225" w:type="pct"/>
            <w:tcBorders>
              <w:tl2br w:val="nil"/>
              <w:tr2bl w:val="nil"/>
            </w:tcBorders>
            <w:noWrap w:val="0"/>
            <w:vAlign w:val="center"/>
          </w:tcPr>
          <w:p w14:paraId="44FD8136">
            <w:pPr>
              <w:keepNext w:val="0"/>
              <w:keepLines w:val="0"/>
              <w:widowControl/>
              <w:suppressLineNumbers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和县经济开发区污水处理厂尾水排放水体为双桥河，污水处理厂出水水质执行标准为《城镇污水处理厂污染物排放标准》（GB18918-2002）一级A标准。</w:t>
            </w:r>
          </w:p>
        </w:tc>
        <w:tc>
          <w:tcPr>
            <w:tcW w:w="574" w:type="pct"/>
            <w:tcBorders>
              <w:tl2br w:val="nil"/>
              <w:tr2bl w:val="nil"/>
            </w:tcBorders>
            <w:noWrap w:val="0"/>
            <w:vAlign w:val="center"/>
          </w:tcPr>
          <w:p w14:paraId="171700EC">
            <w:pPr>
              <w:keepNext w:val="0"/>
              <w:keepLines w:val="0"/>
              <w:widowControl/>
              <w:suppressLineNumbers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本项目进出水口</w:t>
            </w:r>
          </w:p>
        </w:tc>
        <w:tc>
          <w:tcPr>
            <w:tcW w:w="1442" w:type="pct"/>
            <w:tcBorders>
              <w:tl2br w:val="nil"/>
              <w:tr2bl w:val="nil"/>
            </w:tcBorders>
            <w:noWrap w:val="0"/>
            <w:vAlign w:val="center"/>
          </w:tcPr>
          <w:p w14:paraId="5570E66B">
            <w:pPr>
              <w:keepNext w:val="0"/>
              <w:keepLines w:val="0"/>
              <w:pageBreakBefore w:val="0"/>
              <w:widowControl/>
              <w:shd w:val="clear" w:color="auto" w:fill="auto"/>
              <w:kinsoku/>
              <w:wordWrap/>
              <w:overflowPunct/>
              <w:topLinePunct w:val="0"/>
              <w:autoSpaceDE/>
              <w:autoSpaceDN/>
              <w:bidi w:val="0"/>
              <w:adjustRightInd/>
              <w:snapToGrid w:val="0"/>
              <w:ind w:left="-60" w:leftChars="-25" w:right="-60" w:rightChars="-25"/>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已建改良型AAO氧化沟工艺+高效沉淀+反硝化深床滤池，并新增磁混凝除氟沉淀系统，经监测污水处理厂出水水质达到《城镇污水处理厂污染物排放标准》（GB18918-2002）一级A标准</w:t>
            </w:r>
            <w:r>
              <w:rPr>
                <w:rFonts w:hint="eastAsia" w:ascii="宋体" w:hAnsi="宋体" w:eastAsia="宋体" w:cs="宋体"/>
                <w:color w:val="000000" w:themeColor="text1"/>
                <w:kern w:val="0"/>
                <w:sz w:val="21"/>
                <w:szCs w:val="21"/>
                <w:lang w:val="en-US" w:eastAsia="zh-CN" w:bidi="ar"/>
                <w14:textFill>
                  <w14:solidFill>
                    <w14:schemeClr w14:val="tx1"/>
                  </w14:solidFill>
                </w14:textFill>
              </w:rPr>
              <w:t>。</w:t>
            </w:r>
          </w:p>
        </w:tc>
      </w:tr>
      <w:tr w14:paraId="1A3492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267" w:type="pct"/>
            <w:vMerge w:val="continue"/>
            <w:tcBorders>
              <w:tl2br w:val="nil"/>
              <w:tr2bl w:val="nil"/>
            </w:tcBorders>
            <w:noWrap w:val="0"/>
            <w:vAlign w:val="center"/>
          </w:tcPr>
          <w:p w14:paraId="22C639BE">
            <w:pPr>
              <w:pStyle w:val="34"/>
              <w:keepNext w:val="0"/>
              <w:keepLines w:val="0"/>
              <w:pageBreakBefore w:val="0"/>
              <w:widowControl/>
              <w:shd w:val="clear" w:color="auto" w:fill="auto"/>
              <w:kinsoku/>
              <w:wordWrap/>
              <w:overflowPunct/>
              <w:topLinePunct w:val="0"/>
              <w:autoSpaceDE/>
              <w:autoSpaceDN/>
              <w:bidi w:val="0"/>
              <w:adjustRightInd/>
              <w:snapToGrid w:val="0"/>
              <w:spacing w:before="0" w:after="0"/>
              <w:ind w:left="0" w:right="0"/>
              <w:textAlignment w:val="auto"/>
              <w:rPr>
                <w:rFonts w:hint="eastAsia" w:ascii="宋体" w:hAnsi="宋体" w:eastAsia="宋体" w:cs="宋体"/>
                <w:color w:val="000000" w:themeColor="text1"/>
                <w:sz w:val="21"/>
                <w:szCs w:val="21"/>
                <w:lang w:eastAsia="zh-CN"/>
                <w14:textFill>
                  <w14:solidFill>
                    <w14:schemeClr w14:val="tx1"/>
                  </w14:solidFill>
                </w14:textFill>
              </w:rPr>
            </w:pPr>
          </w:p>
        </w:tc>
        <w:tc>
          <w:tcPr>
            <w:tcW w:w="329" w:type="pct"/>
            <w:vMerge w:val="continue"/>
            <w:tcBorders>
              <w:tl2br w:val="nil"/>
              <w:tr2bl w:val="nil"/>
            </w:tcBorders>
            <w:noWrap w:val="0"/>
            <w:vAlign w:val="center"/>
          </w:tcPr>
          <w:p w14:paraId="19266FA4">
            <w:pPr>
              <w:keepNext w:val="0"/>
              <w:keepLines w:val="0"/>
              <w:pageBreakBefore w:val="0"/>
              <w:widowControl/>
              <w:shd w:val="clear" w:color="auto" w:fill="auto"/>
              <w:kinsoku/>
              <w:wordWrap/>
              <w:overflowPunct/>
              <w:topLinePunct w:val="0"/>
              <w:autoSpaceDE/>
              <w:autoSpaceDN/>
              <w:bidi w:val="0"/>
              <w:adjustRightInd/>
              <w:snapToGrid w:val="0"/>
              <w:ind w:left="-60" w:leftChars="-25" w:right="-60" w:rightChars="-25"/>
              <w:jc w:val="center"/>
              <w:textAlignment w:val="auto"/>
              <w:rPr>
                <w:rFonts w:hint="eastAsia" w:ascii="宋体" w:hAnsi="宋体" w:eastAsia="宋体" w:cs="宋体"/>
                <w:color w:val="000000" w:themeColor="text1"/>
                <w:kern w:val="0"/>
                <w:sz w:val="21"/>
                <w:szCs w:val="21"/>
                <w14:textFill>
                  <w14:solidFill>
                    <w14:schemeClr w14:val="tx1"/>
                  </w14:solidFill>
                </w14:textFill>
              </w:rPr>
            </w:pPr>
          </w:p>
        </w:tc>
        <w:tc>
          <w:tcPr>
            <w:tcW w:w="1161" w:type="pct"/>
            <w:tcBorders>
              <w:tl2br w:val="nil"/>
              <w:tr2bl w:val="nil"/>
            </w:tcBorders>
            <w:noWrap w:val="0"/>
            <w:vAlign w:val="center"/>
          </w:tcPr>
          <w:p w14:paraId="2F7C1F68">
            <w:pPr>
              <w:keepNext w:val="0"/>
              <w:keepLines w:val="0"/>
              <w:widowControl/>
              <w:suppressLineNumbers w:val="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进水口安装COD在线监测仪、氨氮在线监测仪、超声波流量计、数据采集传输系统；排放口安装COD在线监测仪、氨氮在线监测仪、超声波流量计、数据采集传输系统等；在线监测设备与马鞍山市环境监测站能够稳定联网。</w:t>
            </w:r>
          </w:p>
        </w:tc>
        <w:tc>
          <w:tcPr>
            <w:tcW w:w="1225" w:type="pct"/>
            <w:tcBorders>
              <w:tl2br w:val="nil"/>
              <w:tr2bl w:val="nil"/>
            </w:tcBorders>
            <w:noWrap w:val="0"/>
            <w:vAlign w:val="center"/>
          </w:tcPr>
          <w:p w14:paraId="68B0E191">
            <w:pPr>
              <w:keepNext w:val="0"/>
              <w:keepLines w:val="0"/>
              <w:widowControl/>
              <w:suppressLineNumbers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在线监测仪器验收申请、验收条件以及验收内容严格按照《水污染在线监测系统验收技术规范（试行）》（HT/T354-2007）等相关规范进行。</w:t>
            </w:r>
          </w:p>
        </w:tc>
        <w:tc>
          <w:tcPr>
            <w:tcW w:w="574" w:type="pct"/>
            <w:tcBorders>
              <w:tl2br w:val="nil"/>
              <w:tr2bl w:val="nil"/>
            </w:tcBorders>
            <w:noWrap w:val="0"/>
            <w:vAlign w:val="center"/>
          </w:tcPr>
          <w:p w14:paraId="592C21A1">
            <w:pPr>
              <w:keepNext w:val="0"/>
              <w:keepLines w:val="0"/>
              <w:widowControl/>
              <w:suppressLineNumbers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在线监测设备安装在市环保和市水务部门核定的位置</w:t>
            </w:r>
          </w:p>
        </w:tc>
        <w:tc>
          <w:tcPr>
            <w:tcW w:w="1442" w:type="pct"/>
            <w:tcBorders>
              <w:tl2br w:val="nil"/>
              <w:tr2bl w:val="nil"/>
            </w:tcBorders>
            <w:noWrap w:val="0"/>
            <w:vAlign w:val="center"/>
          </w:tcPr>
          <w:p w14:paraId="561D170A">
            <w:pPr>
              <w:keepNext w:val="0"/>
              <w:keepLines w:val="0"/>
              <w:widowControl/>
              <w:suppressLineNumbers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在市环保和市水务部门核定的进水口位置按要求安装在线监测装置。</w:t>
            </w:r>
          </w:p>
          <w:p w14:paraId="32863057">
            <w:pPr>
              <w:pStyle w:val="34"/>
              <w:keepNext w:val="0"/>
              <w:keepLines w:val="0"/>
              <w:pageBreakBefore w:val="0"/>
              <w:widowControl/>
              <w:shd w:val="clear" w:color="auto" w:fill="auto"/>
              <w:kinsoku/>
              <w:wordWrap/>
              <w:overflowPunct/>
              <w:topLinePunct w:val="0"/>
              <w:autoSpaceDE/>
              <w:autoSpaceDN/>
              <w:bidi w:val="0"/>
              <w:adjustRightInd/>
              <w:snapToGrid w:val="0"/>
              <w:spacing w:before="0" w:after="0"/>
              <w:ind w:left="0" w:right="0"/>
              <w:textAlignment w:val="auto"/>
              <w:rPr>
                <w:rFonts w:hint="eastAsia" w:ascii="宋体" w:hAnsi="宋体" w:eastAsia="宋体" w:cs="宋体"/>
                <w:color w:val="000000" w:themeColor="text1"/>
                <w:sz w:val="21"/>
                <w:szCs w:val="21"/>
                <w:lang w:val="en-US" w:eastAsia="zh-CN"/>
                <w14:textFill>
                  <w14:solidFill>
                    <w14:schemeClr w14:val="tx1"/>
                  </w14:solidFill>
                </w14:textFill>
              </w:rPr>
            </w:pPr>
          </w:p>
        </w:tc>
      </w:tr>
      <w:tr w14:paraId="74299D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596" w:type="pct"/>
            <w:gridSpan w:val="2"/>
            <w:vMerge w:val="restart"/>
            <w:tcBorders>
              <w:tl2br w:val="nil"/>
              <w:tr2bl w:val="nil"/>
            </w:tcBorders>
            <w:noWrap w:val="0"/>
            <w:vAlign w:val="center"/>
          </w:tcPr>
          <w:p w14:paraId="2AEE137D">
            <w:pPr>
              <w:keepNext w:val="0"/>
              <w:keepLines w:val="0"/>
              <w:pageBreakBefore w:val="0"/>
              <w:widowControl/>
              <w:shd w:val="clear" w:color="auto" w:fill="auto"/>
              <w:kinsoku/>
              <w:wordWrap/>
              <w:overflowPunct/>
              <w:topLinePunct w:val="0"/>
              <w:autoSpaceDE/>
              <w:autoSpaceDN/>
              <w:bidi w:val="0"/>
              <w:adjustRightInd/>
              <w:snapToGrid w:val="0"/>
              <w:ind w:left="-60" w:leftChars="-25" w:right="-60" w:rightChars="-25"/>
              <w:jc w:val="center"/>
              <w:textAlignment w:val="auto"/>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固废治理</w:t>
            </w:r>
          </w:p>
        </w:tc>
        <w:tc>
          <w:tcPr>
            <w:tcW w:w="1161" w:type="pct"/>
            <w:tcBorders>
              <w:tl2br w:val="nil"/>
              <w:tr2bl w:val="nil"/>
            </w:tcBorders>
            <w:noWrap w:val="0"/>
            <w:vAlign w:val="center"/>
          </w:tcPr>
          <w:p w14:paraId="1EB2934C">
            <w:pPr>
              <w:keepNext w:val="0"/>
              <w:keepLines w:val="0"/>
              <w:pageBreakBefore w:val="0"/>
              <w:widowControl/>
              <w:shd w:val="clear" w:color="auto" w:fill="auto"/>
              <w:kinsoku/>
              <w:wordWrap/>
              <w:overflowPunct/>
              <w:topLinePunct w:val="0"/>
              <w:autoSpaceDE/>
              <w:autoSpaceDN/>
              <w:bidi w:val="0"/>
              <w:adjustRightInd/>
              <w:snapToGrid w:val="0"/>
              <w:ind w:left="-60" w:leftChars="-25" w:right="-60" w:rightChars="-25"/>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栅渣</w:t>
            </w:r>
          </w:p>
        </w:tc>
        <w:tc>
          <w:tcPr>
            <w:tcW w:w="1225" w:type="pct"/>
            <w:tcBorders>
              <w:tl2br w:val="nil"/>
              <w:tr2bl w:val="nil"/>
            </w:tcBorders>
            <w:noWrap w:val="0"/>
            <w:vAlign w:val="center"/>
          </w:tcPr>
          <w:p w14:paraId="547FB72C">
            <w:pPr>
              <w:keepNext w:val="0"/>
              <w:keepLines w:val="0"/>
              <w:widowControl/>
              <w:suppressLineNumbers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城市生活垃圾卫生填埋场填埋</w:t>
            </w:r>
          </w:p>
        </w:tc>
        <w:tc>
          <w:tcPr>
            <w:tcW w:w="574" w:type="pct"/>
            <w:vMerge w:val="restart"/>
            <w:tcBorders>
              <w:tl2br w:val="nil"/>
              <w:tr2bl w:val="nil"/>
            </w:tcBorders>
            <w:noWrap w:val="0"/>
            <w:vAlign w:val="center"/>
          </w:tcPr>
          <w:p w14:paraId="74D5D4BC">
            <w:pPr>
              <w:pStyle w:val="34"/>
              <w:keepNext w:val="0"/>
              <w:keepLines w:val="0"/>
              <w:pageBreakBefore w:val="0"/>
              <w:widowControl/>
              <w:shd w:val="clear" w:color="auto" w:fill="auto"/>
              <w:kinsoku/>
              <w:wordWrap/>
              <w:overflowPunct/>
              <w:topLinePunct w:val="0"/>
              <w:autoSpaceDE/>
              <w:autoSpaceDN/>
              <w:bidi w:val="0"/>
              <w:adjustRightInd/>
              <w:snapToGrid w:val="0"/>
              <w:spacing w:before="0" w:after="0"/>
              <w:ind w:left="0" w:right="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w:t>
            </w:r>
          </w:p>
        </w:tc>
        <w:tc>
          <w:tcPr>
            <w:tcW w:w="1442" w:type="pct"/>
            <w:tcBorders>
              <w:tl2br w:val="nil"/>
              <w:tr2bl w:val="nil"/>
            </w:tcBorders>
            <w:noWrap w:val="0"/>
            <w:vAlign w:val="center"/>
          </w:tcPr>
          <w:p w14:paraId="18C787EC">
            <w:pPr>
              <w:pStyle w:val="34"/>
              <w:keepNext w:val="0"/>
              <w:keepLines w:val="0"/>
              <w:pageBreakBefore w:val="0"/>
              <w:widowControl/>
              <w:shd w:val="clear" w:color="auto" w:fill="auto"/>
              <w:kinsoku/>
              <w:wordWrap/>
              <w:overflowPunct/>
              <w:topLinePunct w:val="0"/>
              <w:autoSpaceDE/>
              <w:autoSpaceDN/>
              <w:bidi w:val="0"/>
              <w:adjustRightInd/>
              <w:snapToGrid w:val="0"/>
              <w:spacing w:before="0" w:after="0"/>
              <w:ind w:left="0" w:right="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一致</w:t>
            </w:r>
          </w:p>
        </w:tc>
      </w:tr>
      <w:tr w14:paraId="2D3C8C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16" w:hRule="atLeast"/>
          <w:tblHeader/>
          <w:jc w:val="center"/>
        </w:trPr>
        <w:tc>
          <w:tcPr>
            <w:tcW w:w="596" w:type="pct"/>
            <w:gridSpan w:val="2"/>
            <w:vMerge w:val="continue"/>
            <w:tcBorders>
              <w:tl2br w:val="nil"/>
              <w:tr2bl w:val="nil"/>
            </w:tcBorders>
            <w:noWrap w:val="0"/>
            <w:vAlign w:val="center"/>
          </w:tcPr>
          <w:p w14:paraId="55004A84">
            <w:pPr>
              <w:keepNext w:val="0"/>
              <w:keepLines w:val="0"/>
              <w:pageBreakBefore w:val="0"/>
              <w:widowControl/>
              <w:shd w:val="clear" w:color="auto" w:fill="auto"/>
              <w:kinsoku/>
              <w:wordWrap/>
              <w:overflowPunct/>
              <w:topLinePunct w:val="0"/>
              <w:autoSpaceDE/>
              <w:autoSpaceDN/>
              <w:bidi w:val="0"/>
              <w:adjustRightInd/>
              <w:snapToGrid w:val="0"/>
              <w:ind w:left="-60" w:leftChars="-25" w:right="-60" w:rightChars="-25"/>
              <w:jc w:val="center"/>
              <w:textAlignment w:val="auto"/>
              <w:rPr>
                <w:rFonts w:hint="eastAsia" w:ascii="宋体" w:hAnsi="宋体" w:eastAsia="宋体" w:cs="宋体"/>
                <w:color w:val="000000" w:themeColor="text1"/>
                <w:kern w:val="0"/>
                <w:sz w:val="21"/>
                <w:szCs w:val="21"/>
                <w14:textFill>
                  <w14:solidFill>
                    <w14:schemeClr w14:val="tx1"/>
                  </w14:solidFill>
                </w14:textFill>
              </w:rPr>
            </w:pPr>
          </w:p>
        </w:tc>
        <w:tc>
          <w:tcPr>
            <w:tcW w:w="1161" w:type="pct"/>
            <w:tcBorders>
              <w:tl2br w:val="nil"/>
              <w:tr2bl w:val="nil"/>
            </w:tcBorders>
            <w:noWrap w:val="0"/>
            <w:vAlign w:val="center"/>
          </w:tcPr>
          <w:p w14:paraId="65CF87DF">
            <w:pPr>
              <w:keepNext w:val="0"/>
              <w:keepLines w:val="0"/>
              <w:widowControl/>
              <w:suppressLineNumbers w:val="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沉砂</w:t>
            </w:r>
          </w:p>
        </w:tc>
        <w:tc>
          <w:tcPr>
            <w:tcW w:w="1225" w:type="pct"/>
            <w:tcBorders>
              <w:tl2br w:val="nil"/>
              <w:tr2bl w:val="nil"/>
            </w:tcBorders>
            <w:noWrap w:val="0"/>
            <w:vAlign w:val="center"/>
          </w:tcPr>
          <w:p w14:paraId="19C8F65D">
            <w:pPr>
              <w:pStyle w:val="34"/>
              <w:keepNext w:val="0"/>
              <w:keepLines w:val="0"/>
              <w:pageBreakBefore w:val="0"/>
              <w:widowControl/>
              <w:shd w:val="clear" w:color="auto" w:fill="auto"/>
              <w:kinsoku/>
              <w:wordWrap/>
              <w:overflowPunct/>
              <w:topLinePunct w:val="0"/>
              <w:autoSpaceDE/>
              <w:autoSpaceDN/>
              <w:bidi w:val="0"/>
              <w:adjustRightInd/>
              <w:snapToGrid w:val="0"/>
              <w:spacing w:before="0" w:after="0"/>
              <w:ind w:left="0" w:right="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城市生活垃圾卫生填埋场填埋</w:t>
            </w:r>
          </w:p>
        </w:tc>
        <w:tc>
          <w:tcPr>
            <w:tcW w:w="574" w:type="pct"/>
            <w:vMerge w:val="continue"/>
            <w:tcBorders>
              <w:tl2br w:val="nil"/>
              <w:tr2bl w:val="nil"/>
            </w:tcBorders>
            <w:noWrap w:val="0"/>
            <w:vAlign w:val="center"/>
          </w:tcPr>
          <w:p w14:paraId="009D2D27">
            <w:pPr>
              <w:pStyle w:val="34"/>
              <w:keepNext w:val="0"/>
              <w:keepLines w:val="0"/>
              <w:pageBreakBefore w:val="0"/>
              <w:widowControl/>
              <w:shd w:val="clear" w:color="auto" w:fill="auto"/>
              <w:kinsoku/>
              <w:wordWrap/>
              <w:overflowPunct/>
              <w:topLinePunct w:val="0"/>
              <w:autoSpaceDE/>
              <w:autoSpaceDN/>
              <w:bidi w:val="0"/>
              <w:adjustRightInd/>
              <w:snapToGrid w:val="0"/>
              <w:spacing w:before="0" w:after="0"/>
              <w:ind w:left="0" w:right="0"/>
              <w:textAlignment w:val="auto"/>
              <w:rPr>
                <w:rFonts w:hint="eastAsia" w:ascii="宋体" w:hAnsi="宋体" w:eastAsia="宋体" w:cs="宋体"/>
                <w:color w:val="000000" w:themeColor="text1"/>
                <w:sz w:val="21"/>
                <w:szCs w:val="21"/>
                <w:lang w:val="en-US" w:eastAsia="zh-CN"/>
                <w14:textFill>
                  <w14:solidFill>
                    <w14:schemeClr w14:val="tx1"/>
                  </w14:solidFill>
                </w14:textFill>
              </w:rPr>
            </w:pPr>
          </w:p>
        </w:tc>
        <w:tc>
          <w:tcPr>
            <w:tcW w:w="1442" w:type="pct"/>
            <w:tcBorders>
              <w:tl2br w:val="nil"/>
              <w:tr2bl w:val="nil"/>
            </w:tcBorders>
            <w:noWrap w:val="0"/>
            <w:vAlign w:val="center"/>
          </w:tcPr>
          <w:p w14:paraId="5281FEAC">
            <w:pPr>
              <w:pStyle w:val="34"/>
              <w:keepNext w:val="0"/>
              <w:keepLines w:val="0"/>
              <w:pageBreakBefore w:val="0"/>
              <w:widowControl/>
              <w:shd w:val="clear" w:color="auto" w:fill="auto"/>
              <w:kinsoku/>
              <w:wordWrap/>
              <w:overflowPunct/>
              <w:topLinePunct w:val="0"/>
              <w:autoSpaceDE/>
              <w:autoSpaceDN/>
              <w:bidi w:val="0"/>
              <w:adjustRightInd/>
              <w:snapToGrid w:val="0"/>
              <w:spacing w:before="0" w:after="0"/>
              <w:ind w:left="0" w:right="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一致</w:t>
            </w:r>
          </w:p>
        </w:tc>
      </w:tr>
      <w:tr w14:paraId="538804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596" w:type="pct"/>
            <w:gridSpan w:val="2"/>
            <w:vMerge w:val="continue"/>
            <w:tcBorders>
              <w:tl2br w:val="nil"/>
              <w:tr2bl w:val="nil"/>
            </w:tcBorders>
            <w:noWrap w:val="0"/>
            <w:vAlign w:val="center"/>
          </w:tcPr>
          <w:p w14:paraId="3FC2BC06">
            <w:pPr>
              <w:keepNext w:val="0"/>
              <w:keepLines w:val="0"/>
              <w:pageBreakBefore w:val="0"/>
              <w:widowControl/>
              <w:shd w:val="clear" w:color="auto" w:fill="auto"/>
              <w:kinsoku/>
              <w:wordWrap/>
              <w:overflowPunct/>
              <w:topLinePunct w:val="0"/>
              <w:autoSpaceDE/>
              <w:autoSpaceDN/>
              <w:bidi w:val="0"/>
              <w:adjustRightInd/>
              <w:snapToGrid w:val="0"/>
              <w:ind w:left="-60" w:leftChars="-25" w:right="-60" w:rightChars="-25"/>
              <w:jc w:val="center"/>
              <w:textAlignment w:val="auto"/>
              <w:rPr>
                <w:rFonts w:hint="eastAsia" w:ascii="宋体" w:hAnsi="宋体" w:eastAsia="宋体" w:cs="宋体"/>
                <w:color w:val="000000" w:themeColor="text1"/>
                <w:kern w:val="0"/>
                <w:sz w:val="21"/>
                <w:szCs w:val="21"/>
                <w14:textFill>
                  <w14:solidFill>
                    <w14:schemeClr w14:val="tx1"/>
                  </w14:solidFill>
                </w14:textFill>
              </w:rPr>
            </w:pPr>
          </w:p>
        </w:tc>
        <w:tc>
          <w:tcPr>
            <w:tcW w:w="1161" w:type="pct"/>
            <w:tcBorders>
              <w:tl2br w:val="nil"/>
              <w:tr2bl w:val="nil"/>
            </w:tcBorders>
            <w:noWrap w:val="0"/>
            <w:vAlign w:val="center"/>
          </w:tcPr>
          <w:p w14:paraId="6D8BAA30">
            <w:pPr>
              <w:keepNext w:val="0"/>
              <w:keepLines w:val="0"/>
              <w:pageBreakBefore w:val="0"/>
              <w:widowControl/>
              <w:shd w:val="clear" w:color="auto" w:fill="auto"/>
              <w:kinsoku/>
              <w:wordWrap/>
              <w:overflowPunct/>
              <w:topLinePunct w:val="0"/>
              <w:autoSpaceDE/>
              <w:autoSpaceDN/>
              <w:bidi w:val="0"/>
              <w:adjustRightInd/>
              <w:snapToGrid w:val="0"/>
              <w:ind w:left="-60" w:leftChars="-25" w:right="-60" w:rightChars="-25"/>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污泥</w:t>
            </w:r>
          </w:p>
        </w:tc>
        <w:tc>
          <w:tcPr>
            <w:tcW w:w="1225" w:type="pct"/>
            <w:tcBorders>
              <w:tl2br w:val="nil"/>
              <w:tr2bl w:val="nil"/>
            </w:tcBorders>
            <w:noWrap w:val="0"/>
            <w:vAlign w:val="center"/>
          </w:tcPr>
          <w:p w14:paraId="3A2C2B3B">
            <w:pPr>
              <w:pStyle w:val="34"/>
              <w:keepNext w:val="0"/>
              <w:keepLines w:val="0"/>
              <w:pageBreakBefore w:val="0"/>
              <w:widowControl/>
              <w:shd w:val="clear" w:color="auto" w:fill="auto"/>
              <w:kinsoku/>
              <w:wordWrap/>
              <w:overflowPunct/>
              <w:topLinePunct w:val="0"/>
              <w:autoSpaceDE/>
              <w:autoSpaceDN/>
              <w:bidi w:val="0"/>
              <w:adjustRightInd/>
              <w:snapToGrid w:val="0"/>
              <w:spacing w:before="0" w:after="0"/>
              <w:ind w:left="0" w:right="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委托和县第一污水处理厂处理干化</w:t>
            </w:r>
          </w:p>
        </w:tc>
        <w:tc>
          <w:tcPr>
            <w:tcW w:w="574" w:type="pct"/>
            <w:vMerge w:val="continue"/>
            <w:tcBorders>
              <w:tl2br w:val="nil"/>
              <w:tr2bl w:val="nil"/>
            </w:tcBorders>
            <w:noWrap w:val="0"/>
            <w:vAlign w:val="center"/>
          </w:tcPr>
          <w:p w14:paraId="57050FCB">
            <w:pPr>
              <w:pStyle w:val="34"/>
              <w:keepNext w:val="0"/>
              <w:keepLines w:val="0"/>
              <w:pageBreakBefore w:val="0"/>
              <w:widowControl/>
              <w:shd w:val="clear" w:color="auto" w:fill="auto"/>
              <w:kinsoku/>
              <w:wordWrap/>
              <w:overflowPunct/>
              <w:topLinePunct w:val="0"/>
              <w:autoSpaceDE/>
              <w:autoSpaceDN/>
              <w:bidi w:val="0"/>
              <w:adjustRightInd/>
              <w:snapToGrid w:val="0"/>
              <w:spacing w:before="0" w:after="0"/>
              <w:ind w:left="0" w:right="0"/>
              <w:textAlignment w:val="auto"/>
              <w:rPr>
                <w:rFonts w:hint="eastAsia" w:ascii="宋体" w:hAnsi="宋体" w:eastAsia="宋体" w:cs="宋体"/>
                <w:color w:val="000000" w:themeColor="text1"/>
                <w:sz w:val="21"/>
                <w:szCs w:val="21"/>
                <w:lang w:val="en-US" w:eastAsia="zh-CN"/>
                <w14:textFill>
                  <w14:solidFill>
                    <w14:schemeClr w14:val="tx1"/>
                  </w14:solidFill>
                </w14:textFill>
              </w:rPr>
            </w:pPr>
          </w:p>
        </w:tc>
        <w:tc>
          <w:tcPr>
            <w:tcW w:w="1442" w:type="pct"/>
            <w:tcBorders>
              <w:tl2br w:val="nil"/>
              <w:tr2bl w:val="nil"/>
            </w:tcBorders>
            <w:noWrap w:val="0"/>
            <w:vAlign w:val="center"/>
          </w:tcPr>
          <w:p w14:paraId="51437449">
            <w:pPr>
              <w:keepNext w:val="0"/>
              <w:keepLines w:val="0"/>
              <w:widowControl/>
              <w:suppressLineNumbers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委托和县第一污水处理厂处理干化</w:t>
            </w:r>
          </w:p>
        </w:tc>
      </w:tr>
      <w:tr w14:paraId="554BC1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596" w:type="pct"/>
            <w:gridSpan w:val="2"/>
            <w:vMerge w:val="continue"/>
            <w:tcBorders>
              <w:tl2br w:val="nil"/>
              <w:tr2bl w:val="nil"/>
            </w:tcBorders>
            <w:noWrap w:val="0"/>
            <w:vAlign w:val="center"/>
          </w:tcPr>
          <w:p w14:paraId="06B39A5B">
            <w:pPr>
              <w:keepNext w:val="0"/>
              <w:keepLines w:val="0"/>
              <w:pageBreakBefore w:val="0"/>
              <w:widowControl/>
              <w:shd w:val="clear" w:color="auto" w:fill="auto"/>
              <w:kinsoku/>
              <w:wordWrap/>
              <w:overflowPunct/>
              <w:topLinePunct w:val="0"/>
              <w:autoSpaceDE/>
              <w:autoSpaceDN/>
              <w:bidi w:val="0"/>
              <w:adjustRightInd/>
              <w:snapToGrid w:val="0"/>
              <w:ind w:left="-60" w:leftChars="-25" w:right="-60" w:rightChars="-25"/>
              <w:jc w:val="center"/>
              <w:textAlignment w:val="auto"/>
              <w:rPr>
                <w:rFonts w:hint="eastAsia" w:ascii="宋体" w:hAnsi="宋体" w:eastAsia="宋体" w:cs="宋体"/>
                <w:color w:val="000000" w:themeColor="text1"/>
                <w:kern w:val="0"/>
                <w:sz w:val="21"/>
                <w:szCs w:val="21"/>
                <w14:textFill>
                  <w14:solidFill>
                    <w14:schemeClr w14:val="tx1"/>
                  </w14:solidFill>
                </w14:textFill>
              </w:rPr>
            </w:pPr>
          </w:p>
        </w:tc>
        <w:tc>
          <w:tcPr>
            <w:tcW w:w="1161" w:type="pct"/>
            <w:tcBorders>
              <w:tl2br w:val="nil"/>
              <w:tr2bl w:val="nil"/>
            </w:tcBorders>
            <w:noWrap w:val="0"/>
            <w:vAlign w:val="center"/>
          </w:tcPr>
          <w:p w14:paraId="122762FC">
            <w:pPr>
              <w:keepNext w:val="0"/>
              <w:keepLines w:val="0"/>
              <w:pageBreakBefore w:val="0"/>
              <w:widowControl/>
              <w:shd w:val="clear" w:color="auto" w:fill="auto"/>
              <w:kinsoku/>
              <w:wordWrap/>
              <w:overflowPunct/>
              <w:topLinePunct w:val="0"/>
              <w:autoSpaceDE/>
              <w:autoSpaceDN/>
              <w:bidi w:val="0"/>
              <w:adjustRightInd/>
              <w:snapToGrid w:val="0"/>
              <w:ind w:left="-60" w:leftChars="-25" w:right="-60" w:rightChars="-25"/>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废润滑油</w:t>
            </w:r>
          </w:p>
        </w:tc>
        <w:tc>
          <w:tcPr>
            <w:tcW w:w="1225" w:type="pct"/>
            <w:tcBorders>
              <w:tl2br w:val="nil"/>
              <w:tr2bl w:val="nil"/>
            </w:tcBorders>
            <w:noWrap w:val="0"/>
            <w:vAlign w:val="center"/>
          </w:tcPr>
          <w:p w14:paraId="091C691E">
            <w:pPr>
              <w:pStyle w:val="34"/>
              <w:keepNext w:val="0"/>
              <w:keepLines w:val="0"/>
              <w:pageBreakBefore w:val="0"/>
              <w:widowControl/>
              <w:shd w:val="clear" w:color="auto" w:fill="auto"/>
              <w:kinsoku/>
              <w:wordWrap/>
              <w:overflowPunct/>
              <w:topLinePunct w:val="0"/>
              <w:autoSpaceDE/>
              <w:autoSpaceDN/>
              <w:bidi w:val="0"/>
              <w:adjustRightInd/>
              <w:snapToGrid w:val="0"/>
              <w:spacing w:before="0" w:after="0"/>
              <w:ind w:left="0" w:right="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交由有资质的单位处置</w:t>
            </w:r>
          </w:p>
        </w:tc>
        <w:tc>
          <w:tcPr>
            <w:tcW w:w="574" w:type="pct"/>
            <w:vMerge w:val="continue"/>
            <w:tcBorders>
              <w:tl2br w:val="nil"/>
              <w:tr2bl w:val="nil"/>
            </w:tcBorders>
            <w:noWrap w:val="0"/>
            <w:vAlign w:val="center"/>
          </w:tcPr>
          <w:p w14:paraId="232E6C51">
            <w:pPr>
              <w:pStyle w:val="34"/>
              <w:keepNext w:val="0"/>
              <w:keepLines w:val="0"/>
              <w:pageBreakBefore w:val="0"/>
              <w:widowControl/>
              <w:shd w:val="clear" w:color="auto" w:fill="auto"/>
              <w:kinsoku/>
              <w:wordWrap/>
              <w:overflowPunct/>
              <w:topLinePunct w:val="0"/>
              <w:autoSpaceDE/>
              <w:autoSpaceDN/>
              <w:bidi w:val="0"/>
              <w:adjustRightInd/>
              <w:snapToGrid w:val="0"/>
              <w:spacing w:before="0" w:after="0"/>
              <w:ind w:left="0" w:right="0"/>
              <w:textAlignment w:val="auto"/>
              <w:rPr>
                <w:rFonts w:hint="eastAsia" w:ascii="宋体" w:hAnsi="宋体" w:eastAsia="宋体" w:cs="宋体"/>
                <w:color w:val="000000" w:themeColor="text1"/>
                <w:sz w:val="21"/>
                <w:szCs w:val="21"/>
                <w:lang w:val="en-US" w:eastAsia="zh-CN"/>
                <w14:textFill>
                  <w14:solidFill>
                    <w14:schemeClr w14:val="tx1"/>
                  </w14:solidFill>
                </w14:textFill>
              </w:rPr>
            </w:pPr>
          </w:p>
        </w:tc>
        <w:tc>
          <w:tcPr>
            <w:tcW w:w="1442" w:type="pct"/>
            <w:tcBorders>
              <w:tl2br w:val="nil"/>
              <w:tr2bl w:val="nil"/>
            </w:tcBorders>
            <w:noWrap w:val="0"/>
            <w:vAlign w:val="center"/>
          </w:tcPr>
          <w:p w14:paraId="196EBF06">
            <w:pPr>
              <w:pStyle w:val="34"/>
              <w:keepNext w:val="0"/>
              <w:keepLines w:val="0"/>
              <w:pageBreakBefore w:val="0"/>
              <w:widowControl/>
              <w:shd w:val="clear" w:color="auto" w:fill="auto"/>
              <w:kinsoku/>
              <w:wordWrap/>
              <w:overflowPunct/>
              <w:topLinePunct w:val="0"/>
              <w:autoSpaceDE/>
              <w:autoSpaceDN/>
              <w:bidi w:val="0"/>
              <w:adjustRightInd/>
              <w:snapToGrid w:val="0"/>
              <w:spacing w:before="0" w:after="0"/>
              <w:ind w:left="0" w:right="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交由有资质的单位处置</w:t>
            </w:r>
          </w:p>
        </w:tc>
      </w:tr>
      <w:tr w14:paraId="4811A5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596" w:type="pct"/>
            <w:gridSpan w:val="2"/>
            <w:tcBorders>
              <w:tl2br w:val="nil"/>
              <w:tr2bl w:val="nil"/>
            </w:tcBorders>
            <w:noWrap w:val="0"/>
            <w:vAlign w:val="center"/>
          </w:tcPr>
          <w:p w14:paraId="64BBA15C">
            <w:pPr>
              <w:keepNext w:val="0"/>
              <w:keepLines w:val="0"/>
              <w:pageBreakBefore w:val="0"/>
              <w:widowControl/>
              <w:shd w:val="clear" w:color="auto" w:fill="auto"/>
              <w:kinsoku/>
              <w:wordWrap/>
              <w:overflowPunct/>
              <w:topLinePunct w:val="0"/>
              <w:autoSpaceDE/>
              <w:autoSpaceDN/>
              <w:bidi w:val="0"/>
              <w:adjustRightInd/>
              <w:snapToGrid w:val="0"/>
              <w:ind w:left="-60" w:leftChars="-25" w:right="-60" w:rightChars="-25"/>
              <w:jc w:val="center"/>
              <w:textAlignment w:val="auto"/>
              <w:rPr>
                <w:rFonts w:hint="eastAsia"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噪声治理</w:t>
            </w:r>
          </w:p>
        </w:tc>
        <w:tc>
          <w:tcPr>
            <w:tcW w:w="1161" w:type="pct"/>
            <w:tcBorders>
              <w:tl2br w:val="nil"/>
              <w:tr2bl w:val="nil"/>
            </w:tcBorders>
            <w:noWrap w:val="0"/>
            <w:vAlign w:val="center"/>
          </w:tcPr>
          <w:p w14:paraId="07CE53CA">
            <w:pPr>
              <w:keepNext w:val="0"/>
              <w:keepLines w:val="0"/>
              <w:widowControl/>
              <w:suppressLineNumbers w:val="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高噪声设备设置在室内或水下，其中风机尽量设置在各类机房内，室外风机设置隔声罩；风机风管安装消音管等。</w:t>
            </w:r>
          </w:p>
        </w:tc>
        <w:tc>
          <w:tcPr>
            <w:tcW w:w="1225" w:type="pct"/>
            <w:tcBorders>
              <w:tl2br w:val="nil"/>
              <w:tr2bl w:val="nil"/>
            </w:tcBorders>
            <w:noWrap w:val="0"/>
            <w:vAlign w:val="center"/>
          </w:tcPr>
          <w:p w14:paraId="077B8539">
            <w:pPr>
              <w:keepNext w:val="0"/>
              <w:keepLines w:val="0"/>
              <w:widowControl/>
              <w:suppressLineNumbers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厂界噪声执行《工业企业厂界环境噪声 排放标准》(GB12348—2008)中3类标准。</w:t>
            </w:r>
          </w:p>
        </w:tc>
        <w:tc>
          <w:tcPr>
            <w:tcW w:w="574" w:type="pct"/>
            <w:tcBorders>
              <w:tl2br w:val="nil"/>
              <w:tr2bl w:val="nil"/>
            </w:tcBorders>
            <w:noWrap w:val="0"/>
            <w:vAlign w:val="center"/>
          </w:tcPr>
          <w:p w14:paraId="71C94242">
            <w:pPr>
              <w:pStyle w:val="34"/>
              <w:keepNext w:val="0"/>
              <w:keepLines w:val="0"/>
              <w:pageBreakBefore w:val="0"/>
              <w:widowControl/>
              <w:shd w:val="clear" w:color="auto" w:fill="auto"/>
              <w:kinsoku/>
              <w:wordWrap/>
              <w:overflowPunct/>
              <w:topLinePunct w:val="0"/>
              <w:autoSpaceDE/>
              <w:autoSpaceDN/>
              <w:bidi w:val="0"/>
              <w:adjustRightInd/>
              <w:snapToGrid w:val="0"/>
              <w:spacing w:before="0" w:after="0"/>
              <w:ind w:left="0" w:right="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厂界四周</w:t>
            </w:r>
          </w:p>
        </w:tc>
        <w:tc>
          <w:tcPr>
            <w:tcW w:w="1442" w:type="pct"/>
            <w:tcBorders>
              <w:tl2br w:val="nil"/>
              <w:tr2bl w:val="nil"/>
            </w:tcBorders>
            <w:noWrap w:val="0"/>
            <w:vAlign w:val="center"/>
          </w:tcPr>
          <w:p w14:paraId="24DEB09B">
            <w:pPr>
              <w:keepNext w:val="0"/>
              <w:keepLines w:val="0"/>
              <w:widowControl/>
              <w:suppressLineNumbers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经监测厂界噪声达到《工业企业厂界环境噪声排放标准》(GB12348—2008)中3类标准</w:t>
            </w:r>
          </w:p>
        </w:tc>
      </w:tr>
      <w:tr w14:paraId="656289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596" w:type="pct"/>
            <w:gridSpan w:val="2"/>
            <w:tcBorders>
              <w:tl2br w:val="nil"/>
              <w:tr2bl w:val="nil"/>
            </w:tcBorders>
            <w:noWrap w:val="0"/>
            <w:vAlign w:val="center"/>
          </w:tcPr>
          <w:p w14:paraId="63AA4EB4">
            <w:pPr>
              <w:keepNext w:val="0"/>
              <w:keepLines w:val="0"/>
              <w:widowControl/>
              <w:suppressLineNumbers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地下水</w:t>
            </w:r>
          </w:p>
        </w:tc>
        <w:tc>
          <w:tcPr>
            <w:tcW w:w="1161" w:type="pct"/>
            <w:tcBorders>
              <w:tl2br w:val="nil"/>
              <w:tr2bl w:val="nil"/>
            </w:tcBorders>
            <w:noWrap w:val="0"/>
            <w:vAlign w:val="center"/>
          </w:tcPr>
          <w:p w14:paraId="201E7FDE">
            <w:pPr>
              <w:keepNext w:val="0"/>
              <w:keepLines w:val="0"/>
              <w:widowControl/>
              <w:suppressLineNumbers w:val="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重点污染防治区、一般污染防治区达到相应的防渗要求；地下污水管网防渗、防腐蚀；厂内及周边建设长期水质监测井。</w:t>
            </w:r>
          </w:p>
        </w:tc>
        <w:tc>
          <w:tcPr>
            <w:tcW w:w="1225" w:type="pct"/>
            <w:tcBorders>
              <w:tl2br w:val="nil"/>
              <w:tr2bl w:val="nil"/>
            </w:tcBorders>
            <w:noWrap w:val="0"/>
            <w:vAlign w:val="center"/>
          </w:tcPr>
          <w:p w14:paraId="2B825507">
            <w:pPr>
              <w:keepNext w:val="0"/>
              <w:keepLines w:val="0"/>
              <w:widowControl/>
              <w:suppressLineNumbers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重点防渗区等效黏土防渗层Mb≥6.0m，K≤1×10</w:t>
            </w:r>
            <w:r>
              <w:rPr>
                <w:rFonts w:hint="eastAsia" w:ascii="宋体" w:hAnsi="宋体" w:eastAsia="宋体" w:cs="宋体"/>
                <w:color w:val="000000" w:themeColor="text1"/>
                <w:kern w:val="2"/>
                <w:sz w:val="21"/>
                <w:szCs w:val="21"/>
                <w:vertAlign w:val="superscript"/>
                <w:lang w:val="en-US" w:eastAsia="zh-CN" w:bidi="ar-SA"/>
                <w14:textFill>
                  <w14:solidFill>
                    <w14:schemeClr w14:val="tx1"/>
                  </w14:solidFill>
                </w14:textFill>
              </w:rPr>
              <w:t>-7</w:t>
            </w:r>
            <w:r>
              <w:rPr>
                <w:rFonts w:hint="eastAsia" w:ascii="宋体" w:hAnsi="宋体" w:eastAsia="宋体" w:cs="宋体"/>
                <w:color w:val="000000" w:themeColor="text1"/>
                <w:kern w:val="2"/>
                <w:sz w:val="21"/>
                <w:szCs w:val="21"/>
                <w:lang w:val="en-US" w:eastAsia="zh-CN" w:bidi="ar-SA"/>
                <w14:textFill>
                  <w14:solidFill>
                    <w14:schemeClr w14:val="tx1"/>
                  </w14:solidFill>
                </w14:textFill>
              </w:rPr>
              <w:t>cm/s，一般防渗区达到等效黏土防渗层Mb≥1.5m，K≤1×10</w:t>
            </w:r>
            <w:r>
              <w:rPr>
                <w:rFonts w:hint="eastAsia" w:ascii="宋体" w:hAnsi="宋体" w:eastAsia="宋体" w:cs="宋体"/>
                <w:color w:val="000000" w:themeColor="text1"/>
                <w:kern w:val="2"/>
                <w:sz w:val="21"/>
                <w:szCs w:val="21"/>
                <w:vertAlign w:val="superscript"/>
                <w:lang w:val="en-US" w:eastAsia="zh-CN" w:bidi="ar-SA"/>
                <w14:textFill>
                  <w14:solidFill>
                    <w14:schemeClr w14:val="tx1"/>
                  </w14:solidFill>
                </w14:textFill>
              </w:rPr>
              <w:t>-7</w:t>
            </w:r>
            <w:r>
              <w:rPr>
                <w:rFonts w:hint="eastAsia" w:ascii="宋体" w:hAnsi="宋体" w:eastAsia="宋体" w:cs="宋体"/>
                <w:color w:val="000000" w:themeColor="text1"/>
                <w:kern w:val="2"/>
                <w:sz w:val="21"/>
                <w:szCs w:val="21"/>
                <w:lang w:val="en-US" w:eastAsia="zh-CN" w:bidi="ar-SA"/>
                <w14:textFill>
                  <w14:solidFill>
                    <w14:schemeClr w14:val="tx1"/>
                  </w14:solidFill>
                </w14:textFill>
              </w:rPr>
              <w:t>cm/s；《地下水环境监测技术规范》（HJ 164-2020）。</w:t>
            </w:r>
          </w:p>
        </w:tc>
        <w:tc>
          <w:tcPr>
            <w:tcW w:w="574" w:type="pct"/>
            <w:tcBorders>
              <w:tl2br w:val="nil"/>
              <w:tr2bl w:val="nil"/>
            </w:tcBorders>
            <w:noWrap w:val="0"/>
            <w:vAlign w:val="center"/>
          </w:tcPr>
          <w:p w14:paraId="0BD1F5FD">
            <w:pPr>
              <w:keepNext w:val="0"/>
              <w:keepLines w:val="0"/>
              <w:widowControl/>
              <w:suppressLineNumbers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防渗区、地下水监测井</w:t>
            </w:r>
          </w:p>
        </w:tc>
        <w:tc>
          <w:tcPr>
            <w:tcW w:w="1442" w:type="pct"/>
            <w:tcBorders>
              <w:tl2br w:val="nil"/>
              <w:tr2bl w:val="nil"/>
            </w:tcBorders>
            <w:noWrap w:val="0"/>
            <w:vAlign w:val="center"/>
          </w:tcPr>
          <w:p w14:paraId="0A4CA173">
            <w:pPr>
              <w:keepNext w:val="0"/>
              <w:keepLines w:val="0"/>
              <w:widowControl/>
              <w:suppressLineNumbers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按照要求落实防渗措施</w:t>
            </w:r>
          </w:p>
        </w:tc>
      </w:tr>
      <w:tr w14:paraId="6CF828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596" w:type="pct"/>
            <w:gridSpan w:val="2"/>
            <w:tcBorders>
              <w:tl2br w:val="nil"/>
              <w:tr2bl w:val="nil"/>
            </w:tcBorders>
            <w:noWrap w:val="0"/>
            <w:vAlign w:val="center"/>
          </w:tcPr>
          <w:p w14:paraId="608A1E18">
            <w:pPr>
              <w:keepNext w:val="0"/>
              <w:keepLines w:val="0"/>
              <w:widowControl/>
              <w:suppressLineNumbers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环境风险</w:t>
            </w:r>
          </w:p>
        </w:tc>
        <w:tc>
          <w:tcPr>
            <w:tcW w:w="1161" w:type="pct"/>
            <w:tcBorders>
              <w:tl2br w:val="nil"/>
              <w:tr2bl w:val="nil"/>
            </w:tcBorders>
            <w:noWrap w:val="0"/>
            <w:vAlign w:val="center"/>
          </w:tcPr>
          <w:p w14:paraId="463ECAF4">
            <w:pPr>
              <w:keepNext w:val="0"/>
              <w:keepLines w:val="0"/>
              <w:widowControl/>
              <w:suppressLineNumbers w:val="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事故防范措施</w:t>
            </w:r>
          </w:p>
        </w:tc>
        <w:tc>
          <w:tcPr>
            <w:tcW w:w="1225" w:type="pct"/>
            <w:tcBorders>
              <w:tl2br w:val="nil"/>
              <w:tr2bl w:val="nil"/>
            </w:tcBorders>
            <w:noWrap w:val="0"/>
            <w:vAlign w:val="center"/>
          </w:tcPr>
          <w:p w14:paraId="4408FF37">
            <w:pPr>
              <w:keepNext w:val="0"/>
              <w:keepLines w:val="0"/>
              <w:widowControl/>
              <w:suppressLineNumbers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制定环境风险应急预案</w:t>
            </w:r>
          </w:p>
        </w:tc>
        <w:tc>
          <w:tcPr>
            <w:tcW w:w="574" w:type="pct"/>
            <w:tcBorders>
              <w:tl2br w:val="nil"/>
              <w:tr2bl w:val="nil"/>
            </w:tcBorders>
            <w:noWrap w:val="0"/>
            <w:vAlign w:val="center"/>
          </w:tcPr>
          <w:p w14:paraId="04606E16">
            <w:pPr>
              <w:pStyle w:val="34"/>
              <w:keepNext w:val="0"/>
              <w:keepLines w:val="0"/>
              <w:pageBreakBefore w:val="0"/>
              <w:widowControl/>
              <w:shd w:val="clear" w:color="auto" w:fill="auto"/>
              <w:kinsoku/>
              <w:wordWrap/>
              <w:overflowPunct/>
              <w:topLinePunct w:val="0"/>
              <w:autoSpaceDE/>
              <w:autoSpaceDN/>
              <w:bidi w:val="0"/>
              <w:adjustRightInd/>
              <w:snapToGrid w:val="0"/>
              <w:spacing w:before="0" w:after="0"/>
              <w:ind w:left="0" w:right="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应急预案</w:t>
            </w:r>
          </w:p>
        </w:tc>
        <w:tc>
          <w:tcPr>
            <w:tcW w:w="1442" w:type="pct"/>
            <w:tcBorders>
              <w:tl2br w:val="nil"/>
              <w:tr2bl w:val="nil"/>
            </w:tcBorders>
            <w:noWrap w:val="0"/>
            <w:vAlign w:val="center"/>
          </w:tcPr>
          <w:p w14:paraId="2A3CE614">
            <w:pPr>
              <w:keepNext w:val="0"/>
              <w:keepLines w:val="0"/>
              <w:widowControl/>
              <w:suppressLineNumbers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已制定</w:t>
            </w:r>
          </w:p>
        </w:tc>
      </w:tr>
      <w:tr w14:paraId="3D7AF4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596" w:type="pct"/>
            <w:gridSpan w:val="2"/>
            <w:tcBorders>
              <w:tl2br w:val="nil"/>
              <w:tr2bl w:val="nil"/>
            </w:tcBorders>
            <w:noWrap w:val="0"/>
            <w:vAlign w:val="center"/>
          </w:tcPr>
          <w:p w14:paraId="76B9EB62">
            <w:pPr>
              <w:keepNext w:val="0"/>
              <w:keepLines w:val="0"/>
              <w:widowControl/>
              <w:suppressLineNumbers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环境管理</w:t>
            </w:r>
          </w:p>
        </w:tc>
        <w:tc>
          <w:tcPr>
            <w:tcW w:w="2961" w:type="pct"/>
            <w:gridSpan w:val="3"/>
            <w:tcBorders>
              <w:tl2br w:val="nil"/>
              <w:tr2bl w:val="nil"/>
            </w:tcBorders>
            <w:noWrap w:val="0"/>
            <w:vAlign w:val="center"/>
          </w:tcPr>
          <w:p w14:paraId="3A525BBB">
            <w:pPr>
              <w:keepNext w:val="0"/>
              <w:keepLines w:val="0"/>
              <w:widowControl/>
              <w:suppressLineNumbers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落实本报告提出的环境管理制度和监测计划，设置环境管理和监测机构、配备监测仪器等</w:t>
            </w:r>
          </w:p>
        </w:tc>
        <w:tc>
          <w:tcPr>
            <w:tcW w:w="1442" w:type="pct"/>
            <w:tcBorders>
              <w:tl2br w:val="nil"/>
              <w:tr2bl w:val="nil"/>
            </w:tcBorders>
            <w:noWrap w:val="0"/>
            <w:vAlign w:val="center"/>
          </w:tcPr>
          <w:p w14:paraId="75749FF5">
            <w:pPr>
              <w:pStyle w:val="34"/>
              <w:keepNext w:val="0"/>
              <w:keepLines w:val="0"/>
              <w:pageBreakBefore w:val="0"/>
              <w:widowControl/>
              <w:shd w:val="clear" w:color="auto" w:fill="auto"/>
              <w:kinsoku/>
              <w:wordWrap/>
              <w:overflowPunct/>
              <w:topLinePunct w:val="0"/>
              <w:autoSpaceDE/>
              <w:autoSpaceDN/>
              <w:bidi w:val="0"/>
              <w:adjustRightInd/>
              <w:snapToGrid w:val="0"/>
              <w:spacing w:before="0" w:after="0"/>
              <w:ind w:left="0" w:right="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已执行</w:t>
            </w:r>
          </w:p>
        </w:tc>
      </w:tr>
    </w:tbl>
    <w:p w14:paraId="1544C486">
      <w:pPr>
        <w:rPr>
          <w:rFonts w:hint="default" w:ascii="宋体" w:hAnsi="宋体" w:cs="宋体"/>
          <w:b/>
          <w:bCs/>
          <w:color w:val="000000" w:themeColor="text1"/>
          <w:kern w:val="0"/>
          <w:sz w:val="24"/>
          <w:szCs w:val="24"/>
          <w:lang w:val="en-US" w:eastAsia="zh-CN" w:bidi="ar"/>
          <w14:textFill>
            <w14:solidFill>
              <w14:schemeClr w14:val="tx1"/>
            </w14:solidFill>
          </w14:textFill>
        </w:rPr>
        <w:sectPr>
          <w:pgSz w:w="16838" w:h="11906" w:orient="landscape"/>
          <w:pgMar w:top="1800" w:right="1440" w:bottom="1800" w:left="1440" w:header="1134" w:footer="1020" w:gutter="0"/>
          <w:pgBorders w:offsetFrom="page">
            <w:top w:val="none" w:sz="0" w:space="0"/>
            <w:left w:val="none" w:sz="0" w:space="0"/>
            <w:bottom w:val="none" w:sz="0" w:space="0"/>
            <w:right w:val="none" w:sz="0" w:space="0"/>
          </w:pgBorders>
          <w:pgNumType w:fmt="decimal"/>
          <w:cols w:space="425" w:num="1"/>
          <w:docGrid w:type="lines" w:linePitch="312" w:charSpace="0"/>
        </w:sectPr>
      </w:pPr>
    </w:p>
    <w:p w14:paraId="23509A82">
      <w:pPr>
        <w:keepNext w:val="0"/>
        <w:keepLines w:val="0"/>
        <w:widowControl/>
        <w:suppressLineNumbers w:val="0"/>
        <w:jc w:val="left"/>
        <w:outlineLvl w:val="0"/>
        <w:rPr>
          <w:sz w:val="32"/>
          <w:szCs w:val="32"/>
        </w:rPr>
      </w:pPr>
      <w:bookmarkStart w:id="42" w:name="_Toc19209"/>
      <w:r>
        <w:rPr>
          <w:rFonts w:hint="eastAsia" w:ascii="宋体" w:hAnsi="宋体" w:eastAsia="宋体" w:cs="宋体"/>
          <w:b/>
          <w:bCs/>
          <w:color w:val="000000"/>
          <w:kern w:val="0"/>
          <w:sz w:val="32"/>
          <w:szCs w:val="32"/>
          <w:lang w:val="en-US" w:eastAsia="zh-CN" w:bidi="ar"/>
        </w:rPr>
        <w:t>5</w:t>
      </w:r>
      <w:r>
        <w:rPr>
          <w:rFonts w:hint="eastAsia" w:ascii="宋体" w:hAnsi="宋体" w:eastAsia="宋体" w:cs="宋体"/>
          <w:b/>
          <w:bCs/>
          <w:color w:val="000000"/>
          <w:kern w:val="0"/>
          <w:sz w:val="28"/>
          <w:szCs w:val="28"/>
          <w:lang w:val="en-US" w:eastAsia="zh-CN" w:bidi="ar"/>
        </w:rPr>
        <w:t>.</w:t>
      </w:r>
      <w:r>
        <w:rPr>
          <w:rFonts w:hint="eastAsia" w:ascii="宋体" w:hAnsi="宋体" w:eastAsia="宋体" w:cs="宋体"/>
          <w:b/>
          <w:bCs/>
          <w:color w:val="000000"/>
          <w:kern w:val="0"/>
          <w:sz w:val="32"/>
          <w:szCs w:val="32"/>
          <w:lang w:val="en-US" w:eastAsia="zh-CN" w:bidi="ar"/>
        </w:rPr>
        <w:t xml:space="preserve">  环境影响报告书（表）主要结论与建议及其审批部门审批决定</w:t>
      </w:r>
      <w:bookmarkEnd w:id="42"/>
    </w:p>
    <w:p w14:paraId="52FB47B8">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1"/>
        <w:rPr>
          <w:sz w:val="28"/>
          <w:szCs w:val="28"/>
        </w:rPr>
      </w:pPr>
      <w:bookmarkStart w:id="43" w:name="_Toc4292"/>
      <w:r>
        <w:rPr>
          <w:rFonts w:hint="eastAsia" w:ascii="宋体" w:hAnsi="宋体" w:eastAsia="宋体" w:cs="宋体"/>
          <w:b/>
          <w:bCs/>
          <w:color w:val="000000"/>
          <w:kern w:val="0"/>
          <w:sz w:val="28"/>
          <w:szCs w:val="28"/>
          <w:lang w:val="en-US" w:eastAsia="zh-CN" w:bidi="ar"/>
        </w:rPr>
        <w:t>5.1  环境影响报告书（表）主要结论与建议</w:t>
      </w:r>
      <w:bookmarkEnd w:id="43"/>
    </w:p>
    <w:p w14:paraId="69420ABD">
      <w:pPr>
        <w:keepNext w:val="0"/>
        <w:keepLines w:val="0"/>
        <w:pageBreakBefore w:val="0"/>
        <w:widowControl/>
        <w:suppressLineNumbers w:val="0"/>
        <w:kinsoku/>
        <w:wordWrap/>
        <w:overflowPunct/>
        <w:topLinePunct w:val="0"/>
        <w:autoSpaceDE/>
        <w:autoSpaceDN/>
        <w:bidi w:val="0"/>
        <w:adjustRightInd/>
        <w:snapToGrid w:val="0"/>
        <w:spacing w:line="360" w:lineRule="auto"/>
        <w:ind w:firstLine="482" w:firstLineChars="200"/>
        <w:jc w:val="left"/>
        <w:textAlignment w:val="auto"/>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（一）、项目概况</w:t>
      </w:r>
    </w:p>
    <w:p w14:paraId="248CE044">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和县经济开发区污水处理厂及配套管网工程项目位于和县经济开发区规划纬二路与经三路交口西北角，厂区近期占地40亩，现状为空地。其建设内容为新建经济开发区污水处理厂一座，近期处理规模为1万m</w:t>
      </w:r>
      <w:r>
        <w:rPr>
          <w:rFonts w:hint="eastAsia" w:ascii="宋体" w:hAnsi="宋体" w:eastAsia="宋体" w:cs="宋体"/>
          <w:color w:val="000000"/>
          <w:kern w:val="0"/>
          <w:sz w:val="24"/>
          <w:szCs w:val="24"/>
          <w:vertAlign w:val="superscript"/>
          <w:lang w:val="en-US" w:eastAsia="zh-CN" w:bidi="ar"/>
        </w:rPr>
        <w:t>3</w:t>
      </w:r>
      <w:r>
        <w:rPr>
          <w:rFonts w:hint="eastAsia" w:ascii="宋体" w:hAnsi="宋体" w:eastAsia="宋体" w:cs="宋体"/>
          <w:color w:val="000000"/>
          <w:kern w:val="0"/>
          <w:sz w:val="24"/>
          <w:szCs w:val="24"/>
          <w:lang w:val="en-US" w:eastAsia="zh-CN" w:bidi="ar"/>
        </w:rPr>
        <w:t>/d（分两阶段实施，其中一阶段处理规模为0.5万m</w:t>
      </w:r>
      <w:r>
        <w:rPr>
          <w:rFonts w:hint="eastAsia" w:ascii="宋体" w:hAnsi="宋体" w:eastAsia="宋体" w:cs="宋体"/>
          <w:color w:val="000000"/>
          <w:kern w:val="0"/>
          <w:sz w:val="24"/>
          <w:szCs w:val="24"/>
          <w:vertAlign w:val="superscript"/>
          <w:lang w:val="en-US" w:eastAsia="zh-CN" w:bidi="ar"/>
        </w:rPr>
        <w:t>3</w:t>
      </w:r>
      <w:r>
        <w:rPr>
          <w:rFonts w:hint="eastAsia" w:ascii="宋体" w:hAnsi="宋体" w:eastAsia="宋体" w:cs="宋体"/>
          <w:color w:val="000000"/>
          <w:kern w:val="0"/>
          <w:sz w:val="24"/>
          <w:szCs w:val="24"/>
          <w:lang w:val="en-US" w:eastAsia="zh-CN" w:bidi="ar"/>
        </w:rPr>
        <w:t>/d，二阶段处理规模为0.5万m</w:t>
      </w:r>
      <w:r>
        <w:rPr>
          <w:rFonts w:hint="eastAsia" w:ascii="宋体" w:hAnsi="宋体" w:eastAsia="宋体" w:cs="宋体"/>
          <w:color w:val="000000"/>
          <w:kern w:val="0"/>
          <w:sz w:val="24"/>
          <w:szCs w:val="24"/>
          <w:vertAlign w:val="superscript"/>
          <w:lang w:val="en-US" w:eastAsia="zh-CN" w:bidi="ar"/>
        </w:rPr>
        <w:t>3</w:t>
      </w:r>
      <w:r>
        <w:rPr>
          <w:rFonts w:hint="eastAsia" w:ascii="宋体" w:hAnsi="宋体" w:eastAsia="宋体" w:cs="宋体"/>
          <w:color w:val="000000"/>
          <w:kern w:val="0"/>
          <w:sz w:val="24"/>
          <w:szCs w:val="24"/>
          <w:lang w:val="en-US" w:eastAsia="zh-CN" w:bidi="ar"/>
        </w:rPr>
        <w:t>/d）；配套污水管网总长约11.8km（分两阶段，一阶段总长约4.5km，二阶段总长约7.3km）。和县经济开发区污水处理厂主要是处理工业废水，该污水处理厂服务范围为和县经济开发区和和县台湾农民创业园内规划工业用地，其中和县经济开发区内近期收水范围为西至和州大道，东至巢宁路（即文昌北路），北至沿河路，南至牛屯河路，服务面积3.9km</w:t>
      </w:r>
      <w:r>
        <w:rPr>
          <w:rFonts w:hint="eastAsia" w:ascii="宋体" w:hAnsi="宋体" w:eastAsia="宋体" w:cs="宋体"/>
          <w:color w:val="000000"/>
          <w:kern w:val="0"/>
          <w:sz w:val="24"/>
          <w:szCs w:val="24"/>
          <w:vertAlign w:val="superscript"/>
          <w:lang w:val="en-US" w:eastAsia="zh-CN" w:bidi="ar"/>
        </w:rPr>
        <w:t>2</w:t>
      </w:r>
      <w:r>
        <w:rPr>
          <w:rFonts w:hint="eastAsia" w:ascii="宋体" w:hAnsi="宋体" w:eastAsia="宋体" w:cs="宋体"/>
          <w:color w:val="000000"/>
          <w:kern w:val="0"/>
          <w:sz w:val="24"/>
          <w:szCs w:val="24"/>
          <w:lang w:val="en-US" w:eastAsia="zh-CN" w:bidi="ar"/>
        </w:rPr>
        <w:t>；远期收水范围为西至和州大道，东至经四路，北至 346 国道裕溪路，南至纬二路，服务面积3.57km</w:t>
      </w:r>
      <w:r>
        <w:rPr>
          <w:rFonts w:hint="eastAsia" w:ascii="宋体" w:hAnsi="宋体" w:eastAsia="宋体" w:cs="宋体"/>
          <w:color w:val="000000"/>
          <w:kern w:val="0"/>
          <w:sz w:val="24"/>
          <w:szCs w:val="24"/>
          <w:vertAlign w:val="superscript"/>
          <w:lang w:val="en-US" w:eastAsia="zh-CN" w:bidi="ar"/>
        </w:rPr>
        <w:t>2</w:t>
      </w:r>
      <w:r>
        <w:rPr>
          <w:rFonts w:hint="eastAsia" w:ascii="宋体" w:hAnsi="宋体" w:eastAsia="宋体" w:cs="宋体"/>
          <w:color w:val="000000"/>
          <w:kern w:val="0"/>
          <w:sz w:val="24"/>
          <w:szCs w:val="24"/>
          <w:lang w:val="en-US" w:eastAsia="zh-CN" w:bidi="ar"/>
        </w:rPr>
        <w:t>。和县台湾农民创业园内近期收水范围为西至文昌北路（即巢宁路），东至兴业路，北至裕溪路，南至牛屯河路，服务面积0.7km</w:t>
      </w:r>
      <w:r>
        <w:rPr>
          <w:rFonts w:hint="eastAsia" w:ascii="宋体" w:hAnsi="宋体" w:eastAsia="宋体" w:cs="宋体"/>
          <w:color w:val="000000"/>
          <w:kern w:val="0"/>
          <w:sz w:val="24"/>
          <w:szCs w:val="24"/>
          <w:vertAlign w:val="superscript"/>
          <w:lang w:val="en-US" w:eastAsia="zh-CN" w:bidi="ar"/>
        </w:rPr>
        <w:t>2</w:t>
      </w:r>
      <w:r>
        <w:rPr>
          <w:rFonts w:hint="eastAsia" w:ascii="宋体" w:hAnsi="宋体" w:eastAsia="宋体" w:cs="宋体"/>
          <w:color w:val="000000"/>
          <w:kern w:val="0"/>
          <w:sz w:val="24"/>
          <w:szCs w:val="24"/>
          <w:lang w:val="en-US" w:eastAsia="zh-CN" w:bidi="ar"/>
        </w:rPr>
        <w:t>；远期收水范围为西至兴业路，东至兴顺路（即东环路），北至裕溪路，南至牛屯河路，服务面积0.6km</w:t>
      </w:r>
      <w:r>
        <w:rPr>
          <w:rFonts w:hint="eastAsia" w:ascii="宋体" w:hAnsi="宋体" w:eastAsia="宋体" w:cs="宋体"/>
          <w:color w:val="000000"/>
          <w:kern w:val="0"/>
          <w:sz w:val="24"/>
          <w:szCs w:val="24"/>
          <w:vertAlign w:val="superscript"/>
          <w:lang w:val="en-US" w:eastAsia="zh-CN" w:bidi="ar"/>
        </w:rPr>
        <w:t>2</w:t>
      </w:r>
      <w:r>
        <w:rPr>
          <w:rFonts w:hint="eastAsia" w:ascii="宋体" w:hAnsi="宋体" w:eastAsia="宋体" w:cs="宋体"/>
          <w:color w:val="000000"/>
          <w:kern w:val="0"/>
          <w:sz w:val="24"/>
          <w:szCs w:val="24"/>
          <w:lang w:val="en-US" w:eastAsia="zh-CN" w:bidi="ar"/>
        </w:rPr>
        <w:t>。</w:t>
      </w:r>
    </w:p>
    <w:p w14:paraId="7C406EC7">
      <w:pPr>
        <w:keepNext w:val="0"/>
        <w:keepLines w:val="0"/>
        <w:pageBreakBefore w:val="0"/>
        <w:widowControl/>
        <w:suppressLineNumbers w:val="0"/>
        <w:kinsoku/>
        <w:wordWrap/>
        <w:overflowPunct/>
        <w:topLinePunct w:val="0"/>
        <w:autoSpaceDE/>
        <w:autoSpaceDN/>
        <w:bidi w:val="0"/>
        <w:adjustRightInd/>
        <w:snapToGrid w:val="0"/>
        <w:spacing w:line="360" w:lineRule="auto"/>
        <w:ind w:firstLine="482" w:firstLineChars="200"/>
        <w:jc w:val="left"/>
        <w:textAlignment w:val="auto"/>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（二）产业政策与项目选址可行性</w:t>
      </w:r>
    </w:p>
    <w:p w14:paraId="3ED2E941">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（1）产业政策相符性</w:t>
      </w:r>
    </w:p>
    <w:p w14:paraId="521A88B0">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本项目为污水处理工程，对照《产业结构调整指导目录（2011年本）（2013年修正）》（</w:t>
      </w:r>
      <w:r>
        <w:rPr>
          <w:rFonts w:hint="eastAsia" w:ascii="宋体" w:hAnsi="宋体" w:cs="宋体"/>
          <w:color w:val="000000"/>
          <w:kern w:val="0"/>
          <w:sz w:val="24"/>
          <w:szCs w:val="24"/>
          <w:lang w:val="en-US" w:eastAsia="zh-CN" w:bidi="ar"/>
        </w:rPr>
        <w:t>国家发展改革委</w:t>
      </w:r>
      <w:r>
        <w:rPr>
          <w:rFonts w:hint="eastAsia" w:ascii="宋体" w:hAnsi="宋体" w:eastAsia="宋体" w:cs="宋体"/>
          <w:color w:val="000000"/>
          <w:kern w:val="0"/>
          <w:sz w:val="24"/>
          <w:szCs w:val="24"/>
          <w:lang w:val="en-US" w:eastAsia="zh-CN" w:bidi="ar"/>
        </w:rPr>
        <w:t>第21号令），本项目属于第一类（鼓励类）第三十八条“环境保护与资源节约综合利用”中第15条款：“三废”综合利用及治理工程。</w:t>
      </w:r>
    </w:p>
    <w:p w14:paraId="558D1AFB">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对照《安徽省产业结构调整指导目录》（安徽省发改委2006年06月10日），本项目属于第一类（鼓励类）第十五条“环境保护与资源节约综合利用”中第 15条款：“三废”综合利用及治理工程。</w:t>
      </w:r>
    </w:p>
    <w:p w14:paraId="0CCA9156">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同时，2019年1月8日，本项目经和县发展和改革委员会以《关于和县经济开发区污水处理厂及配套污水管网工程项目建议书的批复》（和发改行审</w:t>
      </w:r>
      <w:r>
        <w:rPr>
          <w:rFonts w:hint="eastAsia" w:ascii="宋体" w:hAnsi="宋体" w:cs="宋体"/>
          <w:color w:val="000000"/>
          <w:kern w:val="0"/>
          <w:sz w:val="24"/>
          <w:szCs w:val="24"/>
          <w:lang w:val="en-US" w:eastAsia="zh-CN" w:bidi="ar"/>
        </w:rPr>
        <w:t>〔2019〕8号</w:t>
      </w:r>
      <w:r>
        <w:rPr>
          <w:rFonts w:hint="eastAsia" w:ascii="宋体" w:hAnsi="宋体" w:eastAsia="宋体" w:cs="宋体"/>
          <w:color w:val="000000"/>
          <w:kern w:val="0"/>
          <w:sz w:val="24"/>
          <w:szCs w:val="24"/>
          <w:lang w:val="en-US" w:eastAsia="zh-CN" w:bidi="ar"/>
        </w:rPr>
        <w:t>）文件批准立项。</w:t>
      </w:r>
    </w:p>
    <w:p w14:paraId="5291ED91">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因此，本项目为鼓励类项目，符合国家及地方的产业政策。</w:t>
      </w:r>
    </w:p>
    <w:p w14:paraId="2BE7CBF6">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（2）选址可行性分析</w:t>
      </w:r>
    </w:p>
    <w:p w14:paraId="477CA32E">
      <w:pPr>
        <w:keepNext w:val="0"/>
        <w:keepLines w:val="0"/>
        <w:widowControl/>
        <w:suppressLineNumbers w:val="0"/>
        <w:jc w:val="center"/>
        <w:rPr>
          <w:b/>
          <w:bCs/>
        </w:rPr>
      </w:pPr>
      <w:r>
        <w:rPr>
          <w:rFonts w:hint="eastAsia" w:ascii="宋体" w:hAnsi="宋体" w:eastAsia="宋体" w:cs="宋体"/>
          <w:b/>
          <w:bCs/>
          <w:color w:val="000000"/>
          <w:kern w:val="0"/>
          <w:sz w:val="24"/>
          <w:szCs w:val="24"/>
          <w:lang w:val="en-US" w:eastAsia="zh-CN" w:bidi="ar"/>
        </w:rPr>
        <w:t>表5.1-1  厂址方案论证分析汇总表</w:t>
      </w:r>
    </w:p>
    <w:tbl>
      <w:tblPr>
        <w:tblStyle w:val="2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20"/>
        <w:gridCol w:w="2038"/>
        <w:gridCol w:w="5561"/>
      </w:tblGrid>
      <w:tr w14:paraId="3EBD5B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tcBorders>
              <w:tl2br w:val="nil"/>
              <w:tr2bl w:val="nil"/>
            </w:tcBorders>
            <w:vAlign w:val="center"/>
          </w:tcPr>
          <w:p w14:paraId="2A571A2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b/>
                <w:bCs/>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b/>
                <w:bCs/>
                <w:color w:val="000000" w:themeColor="text1"/>
                <w:kern w:val="0"/>
                <w:sz w:val="21"/>
                <w:szCs w:val="21"/>
                <w:vertAlign w:val="baseline"/>
                <w:lang w:val="en-US" w:eastAsia="zh-CN" w:bidi="ar"/>
                <w14:textFill>
                  <w14:solidFill>
                    <w14:schemeClr w14:val="tx1"/>
                  </w14:solidFill>
                </w14:textFill>
              </w:rPr>
              <w:t>序号</w:t>
            </w:r>
          </w:p>
        </w:tc>
        <w:tc>
          <w:tcPr>
            <w:tcW w:w="1195" w:type="pct"/>
            <w:tcBorders>
              <w:tl2br w:val="nil"/>
              <w:tr2bl w:val="nil"/>
            </w:tcBorders>
            <w:vAlign w:val="center"/>
          </w:tcPr>
          <w:p w14:paraId="34412B68">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b/>
                <w:bCs/>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b/>
                <w:bCs/>
                <w:color w:val="000000" w:themeColor="text1"/>
                <w:kern w:val="0"/>
                <w:sz w:val="21"/>
                <w:szCs w:val="21"/>
                <w:vertAlign w:val="baseline"/>
                <w:lang w:val="en-US" w:eastAsia="zh-CN" w:bidi="ar"/>
                <w14:textFill>
                  <w14:solidFill>
                    <w14:schemeClr w14:val="tx1"/>
                  </w14:solidFill>
                </w14:textFill>
              </w:rPr>
              <w:t>分析项目</w:t>
            </w:r>
          </w:p>
        </w:tc>
        <w:tc>
          <w:tcPr>
            <w:tcW w:w="3263" w:type="pct"/>
            <w:tcBorders>
              <w:tl2br w:val="nil"/>
              <w:tr2bl w:val="nil"/>
            </w:tcBorders>
            <w:vAlign w:val="center"/>
          </w:tcPr>
          <w:p w14:paraId="5A63DA5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b/>
                <w:bCs/>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b/>
                <w:bCs/>
                <w:color w:val="000000" w:themeColor="text1"/>
                <w:kern w:val="0"/>
                <w:sz w:val="21"/>
                <w:szCs w:val="21"/>
                <w:vertAlign w:val="baseline"/>
                <w:lang w:val="en-US" w:eastAsia="zh-CN" w:bidi="ar"/>
                <w14:textFill>
                  <w14:solidFill>
                    <w14:schemeClr w14:val="tx1"/>
                  </w14:solidFill>
                </w14:textFill>
              </w:rPr>
              <w:t>分析结果</w:t>
            </w:r>
          </w:p>
        </w:tc>
      </w:tr>
      <w:tr w14:paraId="753A4C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tcBorders>
              <w:tl2br w:val="nil"/>
              <w:tr2bl w:val="nil"/>
            </w:tcBorders>
            <w:vAlign w:val="center"/>
          </w:tcPr>
          <w:p w14:paraId="22BA7588">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t>1</w:t>
            </w:r>
          </w:p>
        </w:tc>
        <w:tc>
          <w:tcPr>
            <w:tcW w:w="1195" w:type="pct"/>
            <w:tcBorders>
              <w:tl2br w:val="nil"/>
              <w:tr2bl w:val="nil"/>
            </w:tcBorders>
            <w:vAlign w:val="center"/>
          </w:tcPr>
          <w:p w14:paraId="75DC21DD">
            <w:pPr>
              <w:keepNext w:val="0"/>
              <w:keepLines w:val="0"/>
              <w:widowControl/>
              <w:suppressLineNumbers w:val="0"/>
              <w:jc w:val="center"/>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b w:val="0"/>
                <w:bCs w:val="0"/>
                <w:color w:val="000000"/>
                <w:kern w:val="0"/>
                <w:sz w:val="21"/>
                <w:szCs w:val="21"/>
                <w:lang w:val="en-US" w:eastAsia="zh-CN" w:bidi="ar"/>
              </w:rPr>
              <w:t>国家政策</w:t>
            </w:r>
          </w:p>
        </w:tc>
        <w:tc>
          <w:tcPr>
            <w:tcW w:w="3263" w:type="pct"/>
            <w:tcBorders>
              <w:tl2br w:val="nil"/>
              <w:tr2bl w:val="nil"/>
            </w:tcBorders>
            <w:vAlign w:val="center"/>
          </w:tcPr>
          <w:p w14:paraId="67827F62">
            <w:pPr>
              <w:keepNext w:val="0"/>
              <w:keepLines w:val="0"/>
              <w:widowControl/>
              <w:suppressLineNumbers w:val="0"/>
              <w:jc w:val="center"/>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b w:val="0"/>
                <w:bCs w:val="0"/>
                <w:color w:val="000000"/>
                <w:kern w:val="0"/>
                <w:sz w:val="21"/>
                <w:szCs w:val="21"/>
                <w:lang w:val="en-US" w:eastAsia="zh-CN" w:bidi="ar"/>
              </w:rPr>
              <w:t>符合产业政策</w:t>
            </w:r>
          </w:p>
        </w:tc>
      </w:tr>
      <w:tr w14:paraId="0A192D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tcBorders>
              <w:tl2br w:val="nil"/>
              <w:tr2bl w:val="nil"/>
            </w:tcBorders>
            <w:vAlign w:val="center"/>
          </w:tcPr>
          <w:p w14:paraId="7366771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t>2</w:t>
            </w:r>
          </w:p>
        </w:tc>
        <w:tc>
          <w:tcPr>
            <w:tcW w:w="1195" w:type="pct"/>
            <w:tcBorders>
              <w:tl2br w:val="nil"/>
              <w:tr2bl w:val="nil"/>
            </w:tcBorders>
            <w:vAlign w:val="center"/>
          </w:tcPr>
          <w:p w14:paraId="281BE88A">
            <w:pPr>
              <w:keepNext w:val="0"/>
              <w:keepLines w:val="0"/>
              <w:widowControl/>
              <w:suppressLineNumbers w:val="0"/>
              <w:jc w:val="center"/>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b w:val="0"/>
                <w:bCs w:val="0"/>
                <w:color w:val="000000"/>
                <w:kern w:val="0"/>
                <w:sz w:val="21"/>
                <w:szCs w:val="21"/>
                <w:lang w:val="en-US" w:eastAsia="zh-CN" w:bidi="ar"/>
              </w:rPr>
              <w:t>总体规划</w:t>
            </w:r>
          </w:p>
        </w:tc>
        <w:tc>
          <w:tcPr>
            <w:tcW w:w="3263" w:type="pct"/>
            <w:tcBorders>
              <w:tl2br w:val="nil"/>
              <w:tr2bl w:val="nil"/>
            </w:tcBorders>
            <w:vAlign w:val="center"/>
          </w:tcPr>
          <w:p w14:paraId="64949128">
            <w:pPr>
              <w:keepNext w:val="0"/>
              <w:keepLines w:val="0"/>
              <w:widowControl/>
              <w:suppressLineNumbers w:val="0"/>
              <w:jc w:val="center"/>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b w:val="0"/>
                <w:bCs w:val="0"/>
                <w:color w:val="000000"/>
                <w:kern w:val="0"/>
                <w:sz w:val="21"/>
                <w:szCs w:val="21"/>
                <w:lang w:val="en-US" w:eastAsia="zh-CN" w:bidi="ar"/>
              </w:rPr>
              <w:t>符合《和县县城总体规划》（2013—2030 年）、《安徽和县经济开发区总体规划》（2016~2030年）</w:t>
            </w:r>
          </w:p>
        </w:tc>
      </w:tr>
      <w:tr w14:paraId="06891C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tcBorders>
              <w:tl2br w:val="nil"/>
              <w:tr2bl w:val="nil"/>
            </w:tcBorders>
            <w:vAlign w:val="center"/>
          </w:tcPr>
          <w:p w14:paraId="7AEB112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t>3</w:t>
            </w:r>
          </w:p>
        </w:tc>
        <w:tc>
          <w:tcPr>
            <w:tcW w:w="1195" w:type="pct"/>
            <w:tcBorders>
              <w:tl2br w:val="nil"/>
              <w:tr2bl w:val="nil"/>
            </w:tcBorders>
            <w:vAlign w:val="center"/>
          </w:tcPr>
          <w:p w14:paraId="783E04BC">
            <w:pPr>
              <w:keepNext w:val="0"/>
              <w:keepLines w:val="0"/>
              <w:widowControl/>
              <w:suppressLineNumbers w:val="0"/>
              <w:jc w:val="center"/>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b w:val="0"/>
                <w:bCs w:val="0"/>
                <w:color w:val="000000"/>
                <w:kern w:val="0"/>
                <w:sz w:val="21"/>
                <w:szCs w:val="21"/>
                <w:lang w:val="en-US" w:eastAsia="zh-CN" w:bidi="ar"/>
              </w:rPr>
              <w:t>环境功能区划</w:t>
            </w:r>
          </w:p>
        </w:tc>
        <w:tc>
          <w:tcPr>
            <w:tcW w:w="3263" w:type="pct"/>
            <w:tcBorders>
              <w:tl2br w:val="nil"/>
              <w:tr2bl w:val="nil"/>
            </w:tcBorders>
            <w:vAlign w:val="center"/>
          </w:tcPr>
          <w:p w14:paraId="1422340A">
            <w:pPr>
              <w:keepNext w:val="0"/>
              <w:keepLines w:val="0"/>
              <w:widowControl/>
              <w:suppressLineNumbers w:val="0"/>
              <w:jc w:val="center"/>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b w:val="0"/>
                <w:bCs w:val="0"/>
                <w:color w:val="000000"/>
                <w:kern w:val="0"/>
                <w:sz w:val="21"/>
                <w:szCs w:val="21"/>
                <w:lang w:val="en-US" w:eastAsia="zh-CN" w:bidi="ar"/>
              </w:rPr>
              <w:t>项目建成后不降低各类环境功能</w:t>
            </w:r>
          </w:p>
        </w:tc>
      </w:tr>
      <w:tr w14:paraId="20BDB6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tcBorders>
              <w:tl2br w:val="nil"/>
              <w:tr2bl w:val="nil"/>
            </w:tcBorders>
            <w:vAlign w:val="center"/>
          </w:tcPr>
          <w:p w14:paraId="5B7E68C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t>4</w:t>
            </w:r>
          </w:p>
        </w:tc>
        <w:tc>
          <w:tcPr>
            <w:tcW w:w="1195" w:type="pct"/>
            <w:tcBorders>
              <w:tl2br w:val="nil"/>
              <w:tr2bl w:val="nil"/>
            </w:tcBorders>
            <w:vAlign w:val="center"/>
          </w:tcPr>
          <w:p w14:paraId="0212E831">
            <w:pPr>
              <w:keepNext w:val="0"/>
              <w:keepLines w:val="0"/>
              <w:widowControl/>
              <w:suppressLineNumbers w:val="0"/>
              <w:jc w:val="center"/>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b w:val="0"/>
                <w:bCs w:val="0"/>
                <w:color w:val="000000"/>
                <w:kern w:val="0"/>
                <w:sz w:val="21"/>
                <w:szCs w:val="21"/>
                <w:lang w:val="en-US" w:eastAsia="zh-CN" w:bidi="ar"/>
              </w:rPr>
              <w:t>排污方案</w:t>
            </w:r>
          </w:p>
        </w:tc>
        <w:tc>
          <w:tcPr>
            <w:tcW w:w="3263" w:type="pct"/>
            <w:tcBorders>
              <w:tl2br w:val="nil"/>
              <w:tr2bl w:val="nil"/>
            </w:tcBorders>
            <w:vAlign w:val="center"/>
          </w:tcPr>
          <w:p w14:paraId="6D1FCC37">
            <w:pPr>
              <w:keepNext w:val="0"/>
              <w:keepLines w:val="0"/>
              <w:widowControl/>
              <w:suppressLineNumbers w:val="0"/>
              <w:jc w:val="center"/>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b w:val="0"/>
                <w:bCs w:val="0"/>
                <w:color w:val="000000"/>
                <w:kern w:val="0"/>
                <w:sz w:val="21"/>
                <w:szCs w:val="21"/>
                <w:lang w:val="en-US" w:eastAsia="zh-CN" w:bidi="ar"/>
              </w:rPr>
              <w:t>排污方案合理</w:t>
            </w:r>
          </w:p>
        </w:tc>
      </w:tr>
      <w:tr w14:paraId="3F2621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tcBorders>
              <w:tl2br w:val="nil"/>
              <w:tr2bl w:val="nil"/>
            </w:tcBorders>
            <w:vAlign w:val="center"/>
          </w:tcPr>
          <w:p w14:paraId="28D7A0E8">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t>5</w:t>
            </w:r>
          </w:p>
        </w:tc>
        <w:tc>
          <w:tcPr>
            <w:tcW w:w="1195" w:type="pct"/>
            <w:tcBorders>
              <w:tl2br w:val="nil"/>
              <w:tr2bl w:val="nil"/>
            </w:tcBorders>
            <w:vAlign w:val="center"/>
          </w:tcPr>
          <w:p w14:paraId="283ADEC4">
            <w:pPr>
              <w:keepNext w:val="0"/>
              <w:keepLines w:val="0"/>
              <w:widowControl/>
              <w:suppressLineNumbers w:val="0"/>
              <w:jc w:val="center"/>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b w:val="0"/>
                <w:bCs w:val="0"/>
                <w:color w:val="000000"/>
                <w:kern w:val="0"/>
                <w:sz w:val="21"/>
                <w:szCs w:val="21"/>
                <w:lang w:val="en-US" w:eastAsia="zh-CN" w:bidi="ar"/>
              </w:rPr>
              <w:t>环境敏感区</w:t>
            </w:r>
          </w:p>
        </w:tc>
        <w:tc>
          <w:tcPr>
            <w:tcW w:w="3263" w:type="pct"/>
            <w:tcBorders>
              <w:tl2br w:val="nil"/>
              <w:tr2bl w:val="nil"/>
            </w:tcBorders>
            <w:vAlign w:val="center"/>
          </w:tcPr>
          <w:p w14:paraId="366FD50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t>无</w:t>
            </w:r>
          </w:p>
        </w:tc>
      </w:tr>
      <w:tr w14:paraId="3A9150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tcBorders>
              <w:tl2br w:val="nil"/>
              <w:tr2bl w:val="nil"/>
            </w:tcBorders>
            <w:vAlign w:val="center"/>
          </w:tcPr>
          <w:p w14:paraId="0608EEC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t>6</w:t>
            </w:r>
          </w:p>
        </w:tc>
        <w:tc>
          <w:tcPr>
            <w:tcW w:w="1195" w:type="pct"/>
            <w:tcBorders>
              <w:tl2br w:val="nil"/>
              <w:tr2bl w:val="nil"/>
            </w:tcBorders>
            <w:vAlign w:val="center"/>
          </w:tcPr>
          <w:p w14:paraId="49DDA790">
            <w:pPr>
              <w:keepNext w:val="0"/>
              <w:keepLines w:val="0"/>
              <w:widowControl/>
              <w:suppressLineNumbers w:val="0"/>
              <w:jc w:val="center"/>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b w:val="0"/>
                <w:bCs w:val="0"/>
                <w:color w:val="000000"/>
                <w:kern w:val="0"/>
                <w:sz w:val="21"/>
                <w:szCs w:val="21"/>
                <w:lang w:val="en-US" w:eastAsia="zh-CN" w:bidi="ar"/>
              </w:rPr>
              <w:t>用地性质</w:t>
            </w:r>
          </w:p>
        </w:tc>
        <w:tc>
          <w:tcPr>
            <w:tcW w:w="3263" w:type="pct"/>
            <w:tcBorders>
              <w:tl2br w:val="nil"/>
              <w:tr2bl w:val="nil"/>
            </w:tcBorders>
            <w:vAlign w:val="center"/>
          </w:tcPr>
          <w:p w14:paraId="67AA90E9">
            <w:pPr>
              <w:keepNext w:val="0"/>
              <w:keepLines w:val="0"/>
              <w:widowControl/>
              <w:suppressLineNumbers w:val="0"/>
              <w:jc w:val="center"/>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b w:val="0"/>
                <w:bCs w:val="0"/>
                <w:color w:val="000000"/>
                <w:kern w:val="0"/>
                <w:sz w:val="21"/>
                <w:szCs w:val="21"/>
                <w:lang w:val="en-US" w:eastAsia="zh-CN" w:bidi="ar"/>
              </w:rPr>
              <w:t>环卫设施用地</w:t>
            </w:r>
          </w:p>
        </w:tc>
      </w:tr>
      <w:tr w14:paraId="6AEFFD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tcBorders>
              <w:tl2br w:val="nil"/>
              <w:tr2bl w:val="nil"/>
            </w:tcBorders>
            <w:vAlign w:val="center"/>
          </w:tcPr>
          <w:p w14:paraId="0F6D6DB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t>7</w:t>
            </w:r>
          </w:p>
        </w:tc>
        <w:tc>
          <w:tcPr>
            <w:tcW w:w="1195" w:type="pct"/>
            <w:tcBorders>
              <w:tl2br w:val="nil"/>
              <w:tr2bl w:val="nil"/>
            </w:tcBorders>
            <w:vAlign w:val="center"/>
          </w:tcPr>
          <w:p w14:paraId="753D85A6">
            <w:pPr>
              <w:keepNext w:val="0"/>
              <w:keepLines w:val="0"/>
              <w:widowControl/>
              <w:suppressLineNumbers w:val="0"/>
              <w:jc w:val="center"/>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b w:val="0"/>
                <w:bCs w:val="0"/>
                <w:color w:val="000000"/>
                <w:kern w:val="0"/>
                <w:sz w:val="21"/>
                <w:szCs w:val="21"/>
                <w:lang w:val="en-US" w:eastAsia="zh-CN" w:bidi="ar"/>
              </w:rPr>
              <w:t>环境承载力</w:t>
            </w:r>
          </w:p>
        </w:tc>
        <w:tc>
          <w:tcPr>
            <w:tcW w:w="3263" w:type="pct"/>
            <w:tcBorders>
              <w:tl2br w:val="nil"/>
              <w:tr2bl w:val="nil"/>
            </w:tcBorders>
            <w:vAlign w:val="center"/>
          </w:tcPr>
          <w:p w14:paraId="49E4B1FB">
            <w:pPr>
              <w:keepNext w:val="0"/>
              <w:keepLines w:val="0"/>
              <w:widowControl/>
              <w:suppressLineNumbers w:val="0"/>
              <w:jc w:val="center"/>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b w:val="0"/>
                <w:bCs w:val="0"/>
                <w:color w:val="000000"/>
                <w:kern w:val="0"/>
                <w:sz w:val="21"/>
                <w:szCs w:val="21"/>
                <w:lang w:val="en-US" w:eastAsia="zh-CN" w:bidi="ar"/>
              </w:rPr>
              <w:t>本项目建设有利于提高环境承载力</w:t>
            </w:r>
          </w:p>
        </w:tc>
      </w:tr>
      <w:tr w14:paraId="40F4C1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tcBorders>
              <w:tl2br w:val="nil"/>
              <w:tr2bl w:val="nil"/>
            </w:tcBorders>
            <w:vAlign w:val="center"/>
          </w:tcPr>
          <w:p w14:paraId="71E4FEE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t>8</w:t>
            </w:r>
          </w:p>
        </w:tc>
        <w:tc>
          <w:tcPr>
            <w:tcW w:w="1195" w:type="pct"/>
            <w:tcBorders>
              <w:tl2br w:val="nil"/>
              <w:tr2bl w:val="nil"/>
            </w:tcBorders>
            <w:vAlign w:val="center"/>
          </w:tcPr>
          <w:p w14:paraId="62DA2C18">
            <w:pPr>
              <w:keepNext w:val="0"/>
              <w:keepLines w:val="0"/>
              <w:widowControl/>
              <w:suppressLineNumbers w:val="0"/>
              <w:jc w:val="center"/>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b w:val="0"/>
                <w:bCs w:val="0"/>
                <w:color w:val="000000"/>
                <w:kern w:val="0"/>
                <w:sz w:val="21"/>
                <w:szCs w:val="21"/>
                <w:lang w:val="en-US" w:eastAsia="zh-CN" w:bidi="ar"/>
              </w:rPr>
              <w:t>对外交通</w:t>
            </w:r>
          </w:p>
        </w:tc>
        <w:tc>
          <w:tcPr>
            <w:tcW w:w="3263" w:type="pct"/>
            <w:tcBorders>
              <w:tl2br w:val="nil"/>
              <w:tr2bl w:val="nil"/>
            </w:tcBorders>
            <w:vAlign w:val="center"/>
          </w:tcPr>
          <w:p w14:paraId="4A6F8EED">
            <w:pPr>
              <w:keepNext w:val="0"/>
              <w:keepLines w:val="0"/>
              <w:widowControl/>
              <w:suppressLineNumbers w:val="0"/>
              <w:jc w:val="center"/>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b w:val="0"/>
                <w:bCs w:val="0"/>
                <w:color w:val="000000"/>
                <w:kern w:val="0"/>
                <w:sz w:val="21"/>
                <w:szCs w:val="21"/>
                <w:lang w:val="en-US" w:eastAsia="zh-CN" w:bidi="ar"/>
              </w:rPr>
              <w:t>便利</w:t>
            </w:r>
          </w:p>
        </w:tc>
      </w:tr>
      <w:tr w14:paraId="591886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tcBorders>
              <w:tl2br w:val="nil"/>
              <w:tr2bl w:val="nil"/>
            </w:tcBorders>
            <w:vAlign w:val="center"/>
          </w:tcPr>
          <w:p w14:paraId="4F0990A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t>9</w:t>
            </w:r>
          </w:p>
        </w:tc>
        <w:tc>
          <w:tcPr>
            <w:tcW w:w="1195" w:type="pct"/>
            <w:tcBorders>
              <w:tl2br w:val="nil"/>
              <w:tr2bl w:val="nil"/>
            </w:tcBorders>
            <w:vAlign w:val="center"/>
          </w:tcPr>
          <w:p w14:paraId="2CB525AD">
            <w:pPr>
              <w:keepNext w:val="0"/>
              <w:keepLines w:val="0"/>
              <w:widowControl/>
              <w:suppressLineNumbers w:val="0"/>
              <w:jc w:val="center"/>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b w:val="0"/>
                <w:bCs w:val="0"/>
                <w:color w:val="000000"/>
                <w:kern w:val="0"/>
                <w:sz w:val="21"/>
                <w:szCs w:val="21"/>
                <w:lang w:val="en-US" w:eastAsia="zh-CN" w:bidi="ar"/>
              </w:rPr>
              <w:t>水、电、气供应条件</w:t>
            </w:r>
          </w:p>
        </w:tc>
        <w:tc>
          <w:tcPr>
            <w:tcW w:w="3263" w:type="pct"/>
            <w:tcBorders>
              <w:tl2br w:val="nil"/>
              <w:tr2bl w:val="nil"/>
            </w:tcBorders>
            <w:vAlign w:val="center"/>
          </w:tcPr>
          <w:p w14:paraId="15297C28">
            <w:pPr>
              <w:keepNext w:val="0"/>
              <w:keepLines w:val="0"/>
              <w:widowControl/>
              <w:suppressLineNumbers w:val="0"/>
              <w:jc w:val="center"/>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b w:val="0"/>
                <w:bCs w:val="0"/>
                <w:color w:val="000000"/>
                <w:kern w:val="0"/>
                <w:sz w:val="21"/>
                <w:szCs w:val="21"/>
                <w:lang w:val="en-US" w:eastAsia="zh-CN" w:bidi="ar"/>
              </w:rPr>
              <w:t>水、电、气均能充足供应</w:t>
            </w:r>
          </w:p>
        </w:tc>
      </w:tr>
      <w:tr w14:paraId="59CFE1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tcBorders>
              <w:tl2br w:val="nil"/>
              <w:tr2bl w:val="nil"/>
            </w:tcBorders>
            <w:vAlign w:val="center"/>
          </w:tcPr>
          <w:p w14:paraId="6D9DEFC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t>10</w:t>
            </w:r>
          </w:p>
        </w:tc>
        <w:tc>
          <w:tcPr>
            <w:tcW w:w="1195" w:type="pct"/>
            <w:tcBorders>
              <w:tl2br w:val="nil"/>
              <w:tr2bl w:val="nil"/>
            </w:tcBorders>
            <w:vAlign w:val="center"/>
          </w:tcPr>
          <w:p w14:paraId="416AEA14">
            <w:pPr>
              <w:keepNext w:val="0"/>
              <w:keepLines w:val="0"/>
              <w:widowControl/>
              <w:suppressLineNumbers w:val="0"/>
              <w:jc w:val="center"/>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b w:val="0"/>
                <w:bCs w:val="0"/>
                <w:color w:val="000000"/>
                <w:kern w:val="0"/>
                <w:sz w:val="21"/>
                <w:szCs w:val="21"/>
                <w:lang w:val="en-US" w:eastAsia="zh-CN" w:bidi="ar"/>
              </w:rPr>
              <w:t>环境管理制度</w:t>
            </w:r>
          </w:p>
        </w:tc>
        <w:tc>
          <w:tcPr>
            <w:tcW w:w="3263" w:type="pct"/>
            <w:tcBorders>
              <w:tl2br w:val="nil"/>
              <w:tr2bl w:val="nil"/>
            </w:tcBorders>
            <w:vAlign w:val="center"/>
          </w:tcPr>
          <w:p w14:paraId="0FE83721">
            <w:pPr>
              <w:keepNext w:val="0"/>
              <w:keepLines w:val="0"/>
              <w:widowControl/>
              <w:suppressLineNumbers w:val="0"/>
              <w:jc w:val="center"/>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b w:val="0"/>
                <w:bCs w:val="0"/>
                <w:color w:val="000000"/>
                <w:kern w:val="0"/>
                <w:sz w:val="21"/>
                <w:szCs w:val="21"/>
                <w:lang w:val="en-US" w:eastAsia="zh-CN" w:bidi="ar"/>
              </w:rPr>
              <w:t>完善</w:t>
            </w:r>
          </w:p>
        </w:tc>
      </w:tr>
      <w:tr w14:paraId="543D4E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tcBorders>
              <w:tl2br w:val="nil"/>
              <w:tr2bl w:val="nil"/>
            </w:tcBorders>
            <w:vAlign w:val="center"/>
          </w:tcPr>
          <w:p w14:paraId="198C8E8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t>11</w:t>
            </w:r>
          </w:p>
        </w:tc>
        <w:tc>
          <w:tcPr>
            <w:tcW w:w="1195" w:type="pct"/>
            <w:tcBorders>
              <w:tl2br w:val="nil"/>
              <w:tr2bl w:val="nil"/>
            </w:tcBorders>
            <w:vAlign w:val="center"/>
          </w:tcPr>
          <w:p w14:paraId="4CC68E0B">
            <w:pPr>
              <w:keepNext w:val="0"/>
              <w:keepLines w:val="0"/>
              <w:widowControl/>
              <w:suppressLineNumbers w:val="0"/>
              <w:jc w:val="center"/>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b w:val="0"/>
                <w:bCs w:val="0"/>
                <w:color w:val="000000"/>
                <w:kern w:val="0"/>
                <w:sz w:val="21"/>
                <w:szCs w:val="21"/>
                <w:lang w:val="en-US" w:eastAsia="zh-CN" w:bidi="ar"/>
              </w:rPr>
              <w:t>生产运行管理水平</w:t>
            </w:r>
          </w:p>
        </w:tc>
        <w:tc>
          <w:tcPr>
            <w:tcW w:w="3263" w:type="pct"/>
            <w:tcBorders>
              <w:tl2br w:val="nil"/>
              <w:tr2bl w:val="nil"/>
            </w:tcBorders>
            <w:vAlign w:val="center"/>
          </w:tcPr>
          <w:p w14:paraId="6DC1C8FC">
            <w:pPr>
              <w:keepNext w:val="0"/>
              <w:keepLines w:val="0"/>
              <w:widowControl/>
              <w:suppressLineNumbers w:val="0"/>
              <w:jc w:val="center"/>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b w:val="0"/>
                <w:bCs w:val="0"/>
                <w:color w:val="000000"/>
                <w:kern w:val="0"/>
                <w:sz w:val="21"/>
                <w:szCs w:val="21"/>
                <w:lang w:val="en-US" w:eastAsia="zh-CN" w:bidi="ar"/>
              </w:rPr>
              <w:t>具有成熟、较高的管理水平</w:t>
            </w:r>
          </w:p>
        </w:tc>
      </w:tr>
      <w:tr w14:paraId="519D0F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tcBorders>
              <w:tl2br w:val="nil"/>
              <w:tr2bl w:val="nil"/>
            </w:tcBorders>
            <w:vAlign w:val="center"/>
          </w:tcPr>
          <w:p w14:paraId="0161526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t>12</w:t>
            </w:r>
          </w:p>
        </w:tc>
        <w:tc>
          <w:tcPr>
            <w:tcW w:w="1195" w:type="pct"/>
            <w:tcBorders>
              <w:tl2br w:val="nil"/>
              <w:tr2bl w:val="nil"/>
            </w:tcBorders>
            <w:vAlign w:val="center"/>
          </w:tcPr>
          <w:p w14:paraId="54057E73">
            <w:pPr>
              <w:keepNext w:val="0"/>
              <w:keepLines w:val="0"/>
              <w:widowControl/>
              <w:suppressLineNumbers w:val="0"/>
              <w:jc w:val="center"/>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b w:val="0"/>
                <w:bCs w:val="0"/>
                <w:color w:val="000000"/>
                <w:kern w:val="0"/>
                <w:sz w:val="21"/>
                <w:szCs w:val="21"/>
                <w:lang w:val="en-US" w:eastAsia="zh-CN" w:bidi="ar"/>
              </w:rPr>
              <w:t>公众态度</w:t>
            </w:r>
          </w:p>
        </w:tc>
        <w:tc>
          <w:tcPr>
            <w:tcW w:w="3263" w:type="pct"/>
            <w:tcBorders>
              <w:tl2br w:val="nil"/>
              <w:tr2bl w:val="nil"/>
            </w:tcBorders>
            <w:vAlign w:val="center"/>
          </w:tcPr>
          <w:p w14:paraId="5CEBB28B">
            <w:pPr>
              <w:keepNext w:val="0"/>
              <w:keepLines w:val="0"/>
              <w:widowControl/>
              <w:suppressLineNumbers w:val="0"/>
              <w:jc w:val="center"/>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b w:val="0"/>
                <w:bCs w:val="0"/>
                <w:color w:val="000000"/>
                <w:kern w:val="0"/>
                <w:sz w:val="21"/>
                <w:szCs w:val="21"/>
                <w:lang w:val="en-US" w:eastAsia="zh-CN" w:bidi="ar"/>
              </w:rPr>
              <w:t>公示期间未收到相关意见</w:t>
            </w:r>
          </w:p>
        </w:tc>
      </w:tr>
      <w:tr w14:paraId="6F72A3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36" w:type="pct"/>
            <w:gridSpan w:val="2"/>
            <w:tcBorders>
              <w:tl2br w:val="nil"/>
              <w:tr2bl w:val="nil"/>
            </w:tcBorders>
            <w:vAlign w:val="center"/>
          </w:tcPr>
          <w:p w14:paraId="7A676CF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t>结论</w:t>
            </w:r>
          </w:p>
        </w:tc>
        <w:tc>
          <w:tcPr>
            <w:tcW w:w="3263" w:type="pct"/>
            <w:tcBorders>
              <w:tl2br w:val="nil"/>
              <w:tr2bl w:val="nil"/>
            </w:tcBorders>
            <w:vAlign w:val="center"/>
          </w:tcPr>
          <w:p w14:paraId="5DCA1EC2">
            <w:pPr>
              <w:keepNext w:val="0"/>
              <w:keepLines w:val="0"/>
              <w:widowControl/>
              <w:suppressLineNumbers w:val="0"/>
              <w:jc w:val="center"/>
              <w:rPr>
                <w:rFonts w:hint="eastAsia" w:ascii="宋体" w:hAnsi="宋体"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宋体" w:hAnsi="宋体" w:eastAsia="宋体" w:cs="宋体"/>
                <w:b w:val="0"/>
                <w:bCs w:val="0"/>
                <w:color w:val="000000"/>
                <w:kern w:val="0"/>
                <w:sz w:val="21"/>
                <w:szCs w:val="21"/>
                <w:lang w:val="en-US" w:eastAsia="zh-CN" w:bidi="ar"/>
              </w:rPr>
              <w:t>项目选址合理可行</w:t>
            </w:r>
          </w:p>
        </w:tc>
      </w:tr>
    </w:tbl>
    <w:p w14:paraId="2B384CA0">
      <w:pPr>
        <w:keepNext w:val="0"/>
        <w:keepLines w:val="0"/>
        <w:pageBreakBefore w:val="0"/>
        <w:widowControl/>
        <w:suppressLineNumbers w:val="0"/>
        <w:kinsoku/>
        <w:wordWrap/>
        <w:overflowPunct/>
        <w:topLinePunct w:val="0"/>
        <w:autoSpaceDE/>
        <w:autoSpaceDN/>
        <w:bidi w:val="0"/>
        <w:adjustRightInd/>
        <w:snapToGrid w:val="0"/>
        <w:spacing w:line="360" w:lineRule="auto"/>
        <w:ind w:firstLine="482" w:firstLineChars="200"/>
        <w:jc w:val="left"/>
        <w:textAlignment w:val="auto"/>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（三）环境质量现状</w:t>
      </w:r>
    </w:p>
    <w:p w14:paraId="7952501F">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cs="宋体"/>
          <w:color w:val="000000"/>
          <w:sz w:val="24"/>
        </w:rPr>
      </w:pPr>
      <w:r>
        <w:rPr>
          <w:rFonts w:hint="eastAsia" w:ascii="宋体" w:hAnsi="宋体" w:cs="宋体"/>
          <w:bCs/>
          <w:sz w:val="24"/>
        </w:rPr>
        <w:t>根据马鞍山市生态环境局</w:t>
      </w:r>
      <w:r>
        <w:rPr>
          <w:rFonts w:hint="eastAsia" w:ascii="宋体" w:hAnsi="宋体" w:cs="宋体"/>
          <w:bCs/>
          <w:color w:val="000000"/>
          <w:sz w:val="24"/>
        </w:rPr>
        <w:t>2024年06月05日公布的《2023年马鞍山市环境状况公报》数据显示，项目所在地区域环境质量现状如下：</w:t>
      </w:r>
    </w:p>
    <w:p w14:paraId="0D86B691">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b w:val="0"/>
          <w:bCs w:val="0"/>
          <w:color w:val="000000"/>
          <w:sz w:val="24"/>
          <w:szCs w:val="24"/>
        </w:rPr>
      </w:pP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1</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环境空气质量</w:t>
      </w:r>
    </w:p>
    <w:p w14:paraId="44F7915D">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cs="宋体"/>
          <w:color w:val="000000"/>
          <w:sz w:val="24"/>
        </w:rPr>
      </w:pPr>
      <w:r>
        <w:rPr>
          <w:rFonts w:hint="eastAsia" w:ascii="宋体" w:hAnsi="宋体" w:cs="宋体"/>
          <w:color w:val="000000"/>
          <w:sz w:val="24"/>
        </w:rPr>
        <w:t>2023年，马鞍山市空气质量达到优的天数为91天，良好214天，环境空气质量达标天数比例为83.6%（按有效天数计算）。细颗粒物（PM</w:t>
      </w:r>
      <w:r>
        <w:rPr>
          <w:rFonts w:hint="eastAsia" w:ascii="宋体" w:hAnsi="宋体" w:cs="宋体"/>
          <w:color w:val="000000"/>
          <w:sz w:val="24"/>
          <w:vertAlign w:val="subscript"/>
        </w:rPr>
        <w:t>2.5</w:t>
      </w:r>
      <w:r>
        <w:rPr>
          <w:rFonts w:hint="eastAsia" w:ascii="宋体" w:hAnsi="宋体" w:cs="宋体"/>
          <w:color w:val="000000"/>
          <w:sz w:val="24"/>
        </w:rPr>
        <w:t>）年均浓度为35微克/立方米，达到国家二级标准限值；可吸入颗粒物（PM</w:t>
      </w:r>
      <w:r>
        <w:rPr>
          <w:rFonts w:hint="eastAsia" w:ascii="宋体" w:hAnsi="宋体" w:cs="宋体"/>
          <w:color w:val="000000"/>
          <w:sz w:val="24"/>
          <w:vertAlign w:val="subscript"/>
        </w:rPr>
        <w:t>10</w:t>
      </w:r>
      <w:r>
        <w:rPr>
          <w:rFonts w:hint="eastAsia" w:ascii="宋体" w:hAnsi="宋体" w:cs="宋体"/>
          <w:color w:val="000000"/>
          <w:sz w:val="24"/>
        </w:rPr>
        <w:t>）年均值浓度为54微克/立方米，达到国家二级标准限值；二氧化硫年均值浓度为9微克/立方米，达到国家一级标准限值；二氧化氮年均值浓度为30微克/立方米，达到国家一级标准限值；一氧化碳日均值第95百分位浓度为1.2毫克/立方米，达到国家一级标准限值；臭氧日最大8小时平均值第90百分位浓度为161微克/立方米；酸雨频率为8.9%，降水pH值年均值为6.13</w:t>
      </w:r>
      <w:r>
        <w:rPr>
          <w:rFonts w:hint="eastAsia" w:ascii="宋体" w:hAnsi="宋体" w:cs="宋体"/>
          <w:color w:val="000000"/>
          <w:sz w:val="24"/>
          <w:lang w:val="zh-CN"/>
        </w:rPr>
        <w:t>。</w:t>
      </w:r>
      <w:r>
        <w:rPr>
          <w:rFonts w:hint="eastAsia" w:ascii="宋体" w:hAnsi="宋体" w:cs="宋体"/>
          <w:color w:val="000000"/>
          <w:sz w:val="24"/>
        </w:rPr>
        <w:t>2023年马鞍山市空气质量现状情况见表</w:t>
      </w:r>
      <w:r>
        <w:rPr>
          <w:rFonts w:hint="eastAsia" w:ascii="宋体" w:hAnsi="宋体" w:cs="宋体"/>
          <w:color w:val="000000"/>
          <w:sz w:val="24"/>
          <w:lang w:val="en-US" w:eastAsia="zh-CN"/>
        </w:rPr>
        <w:t>5.1-2</w:t>
      </w:r>
      <w:r>
        <w:rPr>
          <w:rFonts w:hint="eastAsia" w:ascii="宋体" w:hAnsi="宋体" w:cs="宋体"/>
          <w:color w:val="000000"/>
          <w:sz w:val="24"/>
        </w:rPr>
        <w:t>。</w:t>
      </w:r>
    </w:p>
    <w:p w14:paraId="2A1CCA69">
      <w:pPr>
        <w:adjustRightInd w:val="0"/>
        <w:snapToGrid w:val="0"/>
        <w:jc w:val="center"/>
        <w:rPr>
          <w:rFonts w:hint="eastAsia" w:ascii="宋体" w:hAnsi="宋体" w:cs="宋体"/>
          <w:b/>
          <w:bCs/>
          <w:color w:val="000000"/>
          <w:sz w:val="24"/>
          <w:szCs w:val="32"/>
        </w:rPr>
      </w:pPr>
    </w:p>
    <w:p w14:paraId="65D61E31">
      <w:pPr>
        <w:adjustRightInd w:val="0"/>
        <w:snapToGrid w:val="0"/>
        <w:jc w:val="center"/>
        <w:rPr>
          <w:rFonts w:hint="eastAsia" w:ascii="宋体" w:hAnsi="宋体" w:cs="宋体"/>
          <w:b/>
          <w:bCs/>
          <w:color w:val="000000"/>
          <w:sz w:val="24"/>
          <w:szCs w:val="32"/>
        </w:rPr>
      </w:pPr>
    </w:p>
    <w:p w14:paraId="00D62DF2">
      <w:pPr>
        <w:adjustRightInd w:val="0"/>
        <w:snapToGrid w:val="0"/>
        <w:jc w:val="center"/>
        <w:rPr>
          <w:rFonts w:hint="eastAsia" w:ascii="宋体" w:hAnsi="宋体" w:cs="宋体"/>
          <w:b/>
          <w:bCs/>
          <w:color w:val="000000"/>
          <w:sz w:val="24"/>
          <w:szCs w:val="32"/>
        </w:rPr>
      </w:pPr>
    </w:p>
    <w:p w14:paraId="2A8708D6">
      <w:pPr>
        <w:adjustRightInd w:val="0"/>
        <w:snapToGrid w:val="0"/>
        <w:jc w:val="center"/>
        <w:rPr>
          <w:rFonts w:hint="eastAsia" w:ascii="宋体" w:hAnsi="宋体" w:cs="宋体"/>
          <w:b/>
          <w:bCs/>
          <w:color w:val="000000"/>
          <w:sz w:val="24"/>
          <w:szCs w:val="32"/>
        </w:rPr>
      </w:pPr>
    </w:p>
    <w:p w14:paraId="1845B5B4">
      <w:pPr>
        <w:adjustRightInd w:val="0"/>
        <w:snapToGrid w:val="0"/>
        <w:jc w:val="center"/>
        <w:rPr>
          <w:rFonts w:hint="eastAsia" w:ascii="宋体" w:hAnsi="宋体" w:cs="宋体"/>
          <w:b/>
          <w:bCs/>
          <w:color w:val="000000"/>
          <w:sz w:val="24"/>
          <w:szCs w:val="32"/>
        </w:rPr>
      </w:pPr>
    </w:p>
    <w:p w14:paraId="09A14336">
      <w:pPr>
        <w:adjustRightInd w:val="0"/>
        <w:snapToGrid w:val="0"/>
        <w:jc w:val="center"/>
        <w:rPr>
          <w:rFonts w:hint="eastAsia" w:ascii="宋体" w:hAnsi="宋体" w:cs="宋体"/>
          <w:b/>
          <w:bCs/>
          <w:color w:val="000000"/>
          <w:sz w:val="24"/>
          <w:szCs w:val="32"/>
        </w:rPr>
      </w:pPr>
      <w:r>
        <w:rPr>
          <w:rFonts w:hint="eastAsia" w:ascii="宋体" w:hAnsi="宋体" w:cs="宋体"/>
          <w:b/>
          <w:bCs/>
          <w:color w:val="000000"/>
          <w:sz w:val="24"/>
          <w:szCs w:val="32"/>
        </w:rPr>
        <w:t>表</w:t>
      </w:r>
      <w:r>
        <w:rPr>
          <w:rFonts w:hint="eastAsia" w:ascii="宋体" w:hAnsi="宋体" w:cs="宋体"/>
          <w:b/>
          <w:bCs/>
          <w:color w:val="000000"/>
          <w:sz w:val="24"/>
          <w:szCs w:val="32"/>
          <w:lang w:val="en-US" w:eastAsia="zh-CN"/>
        </w:rPr>
        <w:t>5.1-2</w:t>
      </w:r>
      <w:r>
        <w:rPr>
          <w:rFonts w:hint="eastAsia" w:ascii="宋体" w:hAnsi="宋体" w:cs="宋体"/>
          <w:b/>
          <w:bCs/>
          <w:color w:val="000000"/>
          <w:sz w:val="24"/>
          <w:szCs w:val="32"/>
        </w:rPr>
        <w:t xml:space="preserve">  空气质量现状</w:t>
      </w:r>
    </w:p>
    <w:tbl>
      <w:tblPr>
        <w:tblStyle w:val="1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14"/>
        <w:gridCol w:w="2255"/>
        <w:gridCol w:w="1395"/>
        <w:gridCol w:w="728"/>
        <w:gridCol w:w="760"/>
        <w:gridCol w:w="2470"/>
      </w:tblGrid>
      <w:tr w14:paraId="64F68A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6" w:type="pct"/>
            <w:vMerge w:val="restart"/>
            <w:noWrap w:val="0"/>
            <w:vAlign w:val="center"/>
          </w:tcPr>
          <w:p w14:paraId="084B441D">
            <w:pPr>
              <w:jc w:val="center"/>
              <w:rPr>
                <w:rFonts w:hint="eastAsia" w:ascii="宋体" w:hAnsi="宋体" w:eastAsia="宋体" w:cs="宋体"/>
                <w:b/>
                <w:color w:val="000000"/>
                <w:kern w:val="0"/>
                <w:sz w:val="21"/>
                <w:szCs w:val="21"/>
              </w:rPr>
            </w:pPr>
            <w:r>
              <w:rPr>
                <w:rFonts w:hint="eastAsia" w:ascii="宋体" w:hAnsi="宋体" w:eastAsia="宋体" w:cs="宋体"/>
                <w:b/>
                <w:color w:val="000000"/>
                <w:kern w:val="0"/>
                <w:sz w:val="21"/>
                <w:szCs w:val="21"/>
              </w:rPr>
              <w:t>污染物</w:t>
            </w:r>
          </w:p>
        </w:tc>
        <w:tc>
          <w:tcPr>
            <w:tcW w:w="1323" w:type="pct"/>
            <w:vMerge w:val="restart"/>
            <w:noWrap w:val="0"/>
            <w:vAlign w:val="center"/>
          </w:tcPr>
          <w:p w14:paraId="0BAE01A0">
            <w:pPr>
              <w:jc w:val="center"/>
              <w:rPr>
                <w:rFonts w:hint="eastAsia" w:ascii="宋体" w:hAnsi="宋体" w:eastAsia="宋体" w:cs="宋体"/>
                <w:b/>
                <w:color w:val="000000"/>
                <w:kern w:val="0"/>
                <w:sz w:val="21"/>
                <w:szCs w:val="21"/>
              </w:rPr>
            </w:pPr>
            <w:r>
              <w:rPr>
                <w:rFonts w:hint="eastAsia" w:ascii="宋体" w:hAnsi="宋体" w:eastAsia="宋体" w:cs="宋体"/>
                <w:b/>
                <w:color w:val="000000"/>
                <w:kern w:val="0"/>
                <w:sz w:val="21"/>
                <w:szCs w:val="21"/>
              </w:rPr>
              <w:t>平均时间</w:t>
            </w:r>
          </w:p>
        </w:tc>
        <w:tc>
          <w:tcPr>
            <w:tcW w:w="818" w:type="pct"/>
            <w:vMerge w:val="restart"/>
            <w:noWrap w:val="0"/>
            <w:vAlign w:val="center"/>
          </w:tcPr>
          <w:p w14:paraId="10131877">
            <w:pPr>
              <w:snapToGrid w:val="0"/>
              <w:jc w:val="center"/>
              <w:rPr>
                <w:rFonts w:hint="eastAsia" w:ascii="宋体" w:hAnsi="宋体" w:eastAsia="宋体" w:cs="宋体"/>
                <w:b/>
                <w:color w:val="000000"/>
                <w:kern w:val="0"/>
                <w:sz w:val="21"/>
                <w:szCs w:val="21"/>
              </w:rPr>
            </w:pPr>
            <w:r>
              <w:rPr>
                <w:rFonts w:hint="eastAsia" w:ascii="宋体" w:hAnsi="宋体" w:eastAsia="宋体" w:cs="宋体"/>
                <w:b/>
                <w:color w:val="000000"/>
                <w:kern w:val="0"/>
                <w:sz w:val="21"/>
                <w:szCs w:val="21"/>
              </w:rPr>
              <w:t>质量浓度</w:t>
            </w:r>
          </w:p>
          <w:p w14:paraId="728B08FB">
            <w:pPr>
              <w:snapToGrid w:val="0"/>
              <w:jc w:val="center"/>
              <w:rPr>
                <w:rFonts w:hint="eastAsia" w:ascii="宋体" w:hAnsi="宋体" w:eastAsia="宋体" w:cs="宋体"/>
                <w:b/>
                <w:color w:val="000000"/>
                <w:kern w:val="0"/>
                <w:sz w:val="21"/>
                <w:szCs w:val="21"/>
              </w:rPr>
            </w:pPr>
            <w:r>
              <w:rPr>
                <w:rFonts w:hint="eastAsia" w:ascii="宋体" w:hAnsi="宋体" w:eastAsia="宋体" w:cs="宋体"/>
                <w:b/>
                <w:color w:val="000000"/>
                <w:kern w:val="0"/>
                <w:sz w:val="21"/>
                <w:szCs w:val="21"/>
              </w:rPr>
              <w:t>μg/m</w:t>
            </w:r>
            <w:r>
              <w:rPr>
                <w:rFonts w:hint="eastAsia" w:ascii="宋体" w:hAnsi="宋体" w:eastAsia="宋体" w:cs="宋体"/>
                <w:b/>
                <w:color w:val="000000"/>
                <w:kern w:val="0"/>
                <w:sz w:val="21"/>
                <w:szCs w:val="21"/>
                <w:vertAlign w:val="superscript"/>
              </w:rPr>
              <w:t>3</w:t>
            </w:r>
          </w:p>
        </w:tc>
        <w:tc>
          <w:tcPr>
            <w:tcW w:w="873" w:type="pct"/>
            <w:gridSpan w:val="2"/>
            <w:noWrap w:val="0"/>
            <w:vAlign w:val="center"/>
          </w:tcPr>
          <w:p w14:paraId="580A05F7">
            <w:pPr>
              <w:jc w:val="center"/>
              <w:rPr>
                <w:rFonts w:hint="eastAsia" w:ascii="宋体" w:hAnsi="宋体" w:eastAsia="宋体" w:cs="宋体"/>
                <w:b/>
                <w:color w:val="000000"/>
                <w:kern w:val="0"/>
                <w:sz w:val="21"/>
                <w:szCs w:val="21"/>
              </w:rPr>
            </w:pPr>
            <w:r>
              <w:rPr>
                <w:rFonts w:hint="eastAsia" w:ascii="宋体" w:hAnsi="宋体" w:eastAsia="宋体" w:cs="宋体"/>
                <w:b/>
                <w:color w:val="000000"/>
                <w:kern w:val="0"/>
                <w:sz w:val="21"/>
                <w:szCs w:val="21"/>
              </w:rPr>
              <w:t>浓度限值</w:t>
            </w:r>
          </w:p>
        </w:tc>
        <w:tc>
          <w:tcPr>
            <w:tcW w:w="1449" w:type="pct"/>
            <w:vMerge w:val="restart"/>
            <w:noWrap w:val="0"/>
            <w:vAlign w:val="center"/>
          </w:tcPr>
          <w:p w14:paraId="5AA88580">
            <w:pPr>
              <w:jc w:val="center"/>
              <w:rPr>
                <w:rFonts w:hint="eastAsia" w:ascii="宋体" w:hAnsi="宋体" w:eastAsia="宋体" w:cs="宋体"/>
                <w:b/>
                <w:color w:val="000000"/>
                <w:kern w:val="0"/>
                <w:sz w:val="21"/>
                <w:szCs w:val="21"/>
              </w:rPr>
            </w:pPr>
            <w:r>
              <w:rPr>
                <w:rFonts w:hint="eastAsia" w:ascii="宋体" w:hAnsi="宋体" w:eastAsia="宋体" w:cs="宋体"/>
                <w:b/>
                <w:color w:val="000000"/>
                <w:kern w:val="0"/>
                <w:sz w:val="21"/>
                <w:szCs w:val="21"/>
              </w:rPr>
              <w:t>达标情况</w:t>
            </w:r>
          </w:p>
        </w:tc>
      </w:tr>
      <w:tr w14:paraId="318A4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6" w:type="pct"/>
            <w:vMerge w:val="continue"/>
            <w:noWrap w:val="0"/>
            <w:vAlign w:val="center"/>
          </w:tcPr>
          <w:p w14:paraId="7A7AADE1">
            <w:pPr>
              <w:jc w:val="center"/>
              <w:rPr>
                <w:rFonts w:hint="eastAsia" w:ascii="宋体" w:hAnsi="宋体" w:eastAsia="宋体" w:cs="宋体"/>
                <w:sz w:val="21"/>
                <w:szCs w:val="21"/>
              </w:rPr>
            </w:pPr>
          </w:p>
        </w:tc>
        <w:tc>
          <w:tcPr>
            <w:tcW w:w="1323" w:type="pct"/>
            <w:vMerge w:val="continue"/>
            <w:noWrap w:val="0"/>
            <w:vAlign w:val="center"/>
          </w:tcPr>
          <w:p w14:paraId="094C3CA9">
            <w:pPr>
              <w:jc w:val="center"/>
              <w:rPr>
                <w:rFonts w:hint="eastAsia" w:ascii="宋体" w:hAnsi="宋体" w:eastAsia="宋体" w:cs="宋体"/>
                <w:sz w:val="21"/>
                <w:szCs w:val="21"/>
              </w:rPr>
            </w:pPr>
          </w:p>
        </w:tc>
        <w:tc>
          <w:tcPr>
            <w:tcW w:w="818" w:type="pct"/>
            <w:vMerge w:val="continue"/>
            <w:noWrap w:val="0"/>
            <w:vAlign w:val="center"/>
          </w:tcPr>
          <w:p w14:paraId="16B50509">
            <w:pPr>
              <w:jc w:val="center"/>
              <w:rPr>
                <w:rFonts w:hint="eastAsia" w:ascii="宋体" w:hAnsi="宋体" w:eastAsia="宋体" w:cs="宋体"/>
                <w:sz w:val="21"/>
                <w:szCs w:val="21"/>
              </w:rPr>
            </w:pPr>
          </w:p>
        </w:tc>
        <w:tc>
          <w:tcPr>
            <w:tcW w:w="427" w:type="pct"/>
            <w:noWrap w:val="0"/>
            <w:vAlign w:val="center"/>
          </w:tcPr>
          <w:p w14:paraId="7D1163B5">
            <w:pPr>
              <w:jc w:val="center"/>
              <w:rPr>
                <w:rFonts w:hint="eastAsia" w:ascii="宋体" w:hAnsi="宋体" w:eastAsia="宋体" w:cs="宋体"/>
                <w:b/>
                <w:color w:val="000000"/>
                <w:kern w:val="0"/>
                <w:sz w:val="21"/>
                <w:szCs w:val="21"/>
              </w:rPr>
            </w:pPr>
            <w:r>
              <w:rPr>
                <w:rFonts w:hint="eastAsia" w:ascii="宋体" w:hAnsi="宋体" w:eastAsia="宋体" w:cs="宋体"/>
                <w:b/>
                <w:color w:val="000000"/>
                <w:kern w:val="0"/>
                <w:sz w:val="21"/>
                <w:szCs w:val="21"/>
              </w:rPr>
              <w:t>一级</w:t>
            </w:r>
          </w:p>
        </w:tc>
        <w:tc>
          <w:tcPr>
            <w:tcW w:w="445" w:type="pct"/>
            <w:noWrap w:val="0"/>
            <w:vAlign w:val="center"/>
          </w:tcPr>
          <w:p w14:paraId="6054953B">
            <w:pPr>
              <w:jc w:val="center"/>
              <w:rPr>
                <w:rFonts w:hint="eastAsia" w:ascii="宋体" w:hAnsi="宋体" w:eastAsia="宋体" w:cs="宋体"/>
                <w:b/>
                <w:color w:val="000000"/>
                <w:kern w:val="0"/>
                <w:sz w:val="21"/>
                <w:szCs w:val="21"/>
              </w:rPr>
            </w:pPr>
            <w:r>
              <w:rPr>
                <w:rFonts w:hint="eastAsia" w:ascii="宋体" w:hAnsi="宋体" w:eastAsia="宋体" w:cs="宋体"/>
                <w:b/>
                <w:color w:val="000000"/>
                <w:kern w:val="0"/>
                <w:sz w:val="21"/>
                <w:szCs w:val="21"/>
              </w:rPr>
              <w:t>二级</w:t>
            </w:r>
          </w:p>
        </w:tc>
        <w:tc>
          <w:tcPr>
            <w:tcW w:w="1449" w:type="pct"/>
            <w:vMerge w:val="continue"/>
            <w:noWrap w:val="0"/>
            <w:vAlign w:val="center"/>
          </w:tcPr>
          <w:p w14:paraId="22C45324">
            <w:pPr>
              <w:jc w:val="center"/>
              <w:rPr>
                <w:rFonts w:hint="eastAsia" w:ascii="宋体" w:hAnsi="宋体" w:eastAsia="宋体" w:cs="宋体"/>
                <w:b/>
                <w:color w:val="000000"/>
                <w:kern w:val="0"/>
                <w:sz w:val="21"/>
                <w:szCs w:val="21"/>
              </w:rPr>
            </w:pPr>
          </w:p>
        </w:tc>
      </w:tr>
      <w:tr w14:paraId="33D384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6" w:type="pct"/>
            <w:noWrap w:val="0"/>
            <w:vAlign w:val="center"/>
          </w:tcPr>
          <w:p w14:paraId="578C3CF2">
            <w:pPr>
              <w:jc w:val="center"/>
              <w:rPr>
                <w:rFonts w:hint="eastAsia" w:ascii="宋体" w:hAnsi="宋体" w:eastAsia="宋体" w:cs="宋体"/>
                <w:color w:val="000000"/>
                <w:kern w:val="0"/>
                <w:sz w:val="21"/>
                <w:szCs w:val="21"/>
              </w:rPr>
            </w:pPr>
            <w:r>
              <w:rPr>
                <w:rFonts w:hint="eastAsia" w:ascii="宋体" w:hAnsi="宋体" w:eastAsia="宋体" w:cs="宋体"/>
                <w:color w:val="000000"/>
                <w:sz w:val="21"/>
                <w:szCs w:val="21"/>
              </w:rPr>
              <w:t>SO</w:t>
            </w:r>
            <w:r>
              <w:rPr>
                <w:rFonts w:hint="eastAsia" w:ascii="宋体" w:hAnsi="宋体" w:eastAsia="宋体" w:cs="宋体"/>
                <w:color w:val="000000"/>
                <w:sz w:val="21"/>
                <w:szCs w:val="21"/>
                <w:vertAlign w:val="subscript"/>
              </w:rPr>
              <w:t>2</w:t>
            </w:r>
          </w:p>
        </w:tc>
        <w:tc>
          <w:tcPr>
            <w:tcW w:w="1323" w:type="pct"/>
            <w:noWrap w:val="0"/>
            <w:vAlign w:val="center"/>
          </w:tcPr>
          <w:p w14:paraId="0DB445D6">
            <w:pPr>
              <w:jc w:val="center"/>
              <w:rPr>
                <w:rFonts w:hint="eastAsia" w:ascii="宋体" w:hAnsi="宋体" w:eastAsia="宋体" w:cs="宋体"/>
                <w:color w:val="000000"/>
                <w:kern w:val="0"/>
                <w:sz w:val="21"/>
                <w:szCs w:val="21"/>
              </w:rPr>
            </w:pPr>
            <w:r>
              <w:rPr>
                <w:rFonts w:hint="eastAsia" w:ascii="宋体" w:hAnsi="宋体" w:eastAsia="宋体" w:cs="宋体"/>
                <w:color w:val="000000"/>
                <w:sz w:val="21"/>
                <w:szCs w:val="21"/>
              </w:rPr>
              <w:t>年平均</w:t>
            </w:r>
          </w:p>
        </w:tc>
        <w:tc>
          <w:tcPr>
            <w:tcW w:w="818" w:type="pct"/>
            <w:noWrap w:val="0"/>
            <w:vAlign w:val="center"/>
          </w:tcPr>
          <w:p w14:paraId="105291F7">
            <w:pPr>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9</w:t>
            </w:r>
          </w:p>
        </w:tc>
        <w:tc>
          <w:tcPr>
            <w:tcW w:w="427" w:type="pct"/>
            <w:noWrap w:val="0"/>
            <w:vAlign w:val="center"/>
          </w:tcPr>
          <w:p w14:paraId="5170C7AA">
            <w:pPr>
              <w:jc w:val="center"/>
              <w:rPr>
                <w:rFonts w:hint="eastAsia" w:ascii="宋体" w:hAnsi="宋体" w:eastAsia="宋体" w:cs="宋体"/>
                <w:color w:val="000000"/>
                <w:kern w:val="0"/>
                <w:sz w:val="21"/>
                <w:szCs w:val="21"/>
              </w:rPr>
            </w:pPr>
            <w:r>
              <w:rPr>
                <w:rFonts w:hint="eastAsia" w:ascii="宋体" w:hAnsi="宋体" w:eastAsia="宋体" w:cs="宋体"/>
                <w:color w:val="000000"/>
                <w:sz w:val="21"/>
                <w:szCs w:val="21"/>
              </w:rPr>
              <w:t>20</w:t>
            </w:r>
          </w:p>
        </w:tc>
        <w:tc>
          <w:tcPr>
            <w:tcW w:w="445" w:type="pct"/>
            <w:noWrap w:val="0"/>
            <w:vAlign w:val="center"/>
          </w:tcPr>
          <w:p w14:paraId="468C5C99">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60</w:t>
            </w:r>
          </w:p>
        </w:tc>
        <w:tc>
          <w:tcPr>
            <w:tcW w:w="1449" w:type="pct"/>
            <w:noWrap w:val="0"/>
            <w:vAlign w:val="center"/>
          </w:tcPr>
          <w:p w14:paraId="66653DE2">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达到国家一级标准限值</w:t>
            </w:r>
          </w:p>
        </w:tc>
      </w:tr>
      <w:tr w14:paraId="7FB128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6" w:type="pct"/>
            <w:noWrap w:val="0"/>
            <w:vAlign w:val="center"/>
          </w:tcPr>
          <w:p w14:paraId="1D203125">
            <w:pPr>
              <w:jc w:val="center"/>
              <w:rPr>
                <w:rFonts w:hint="eastAsia" w:ascii="宋体" w:hAnsi="宋体" w:eastAsia="宋体" w:cs="宋体"/>
                <w:color w:val="000000"/>
                <w:kern w:val="0"/>
                <w:sz w:val="21"/>
                <w:szCs w:val="21"/>
              </w:rPr>
            </w:pPr>
            <w:r>
              <w:rPr>
                <w:rFonts w:hint="eastAsia" w:ascii="宋体" w:hAnsi="宋体" w:eastAsia="宋体" w:cs="宋体"/>
                <w:color w:val="000000"/>
                <w:sz w:val="21"/>
                <w:szCs w:val="21"/>
              </w:rPr>
              <w:t>NO</w:t>
            </w:r>
            <w:r>
              <w:rPr>
                <w:rFonts w:hint="eastAsia" w:ascii="宋体" w:hAnsi="宋体" w:eastAsia="宋体" w:cs="宋体"/>
                <w:color w:val="000000"/>
                <w:sz w:val="21"/>
                <w:szCs w:val="21"/>
                <w:vertAlign w:val="subscript"/>
              </w:rPr>
              <w:t>2</w:t>
            </w:r>
          </w:p>
        </w:tc>
        <w:tc>
          <w:tcPr>
            <w:tcW w:w="1323" w:type="pct"/>
            <w:noWrap w:val="0"/>
            <w:vAlign w:val="center"/>
          </w:tcPr>
          <w:p w14:paraId="3EE00A70">
            <w:pPr>
              <w:jc w:val="center"/>
              <w:rPr>
                <w:rFonts w:hint="eastAsia" w:ascii="宋体" w:hAnsi="宋体" w:eastAsia="宋体" w:cs="宋体"/>
                <w:color w:val="000000"/>
                <w:kern w:val="0"/>
                <w:sz w:val="21"/>
                <w:szCs w:val="21"/>
              </w:rPr>
            </w:pPr>
            <w:r>
              <w:rPr>
                <w:rFonts w:hint="eastAsia" w:ascii="宋体" w:hAnsi="宋体" w:eastAsia="宋体" w:cs="宋体"/>
                <w:color w:val="000000"/>
                <w:sz w:val="21"/>
                <w:szCs w:val="21"/>
              </w:rPr>
              <w:t>年平均</w:t>
            </w:r>
          </w:p>
        </w:tc>
        <w:tc>
          <w:tcPr>
            <w:tcW w:w="818" w:type="pct"/>
            <w:noWrap w:val="0"/>
            <w:vAlign w:val="center"/>
          </w:tcPr>
          <w:p w14:paraId="0AA1A088">
            <w:pPr>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30</w:t>
            </w:r>
          </w:p>
        </w:tc>
        <w:tc>
          <w:tcPr>
            <w:tcW w:w="427" w:type="pct"/>
            <w:noWrap w:val="0"/>
            <w:vAlign w:val="center"/>
          </w:tcPr>
          <w:p w14:paraId="15DBBE63">
            <w:pPr>
              <w:jc w:val="center"/>
              <w:rPr>
                <w:rFonts w:hint="eastAsia" w:ascii="宋体" w:hAnsi="宋体" w:eastAsia="宋体" w:cs="宋体"/>
                <w:color w:val="000000"/>
                <w:kern w:val="0"/>
                <w:sz w:val="21"/>
                <w:szCs w:val="21"/>
              </w:rPr>
            </w:pPr>
            <w:r>
              <w:rPr>
                <w:rFonts w:hint="eastAsia" w:ascii="宋体" w:hAnsi="宋体" w:eastAsia="宋体" w:cs="宋体"/>
                <w:color w:val="000000"/>
                <w:sz w:val="21"/>
                <w:szCs w:val="21"/>
              </w:rPr>
              <w:t>40</w:t>
            </w:r>
          </w:p>
        </w:tc>
        <w:tc>
          <w:tcPr>
            <w:tcW w:w="445" w:type="pct"/>
            <w:noWrap w:val="0"/>
            <w:vAlign w:val="center"/>
          </w:tcPr>
          <w:p w14:paraId="35C82791">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40</w:t>
            </w:r>
          </w:p>
        </w:tc>
        <w:tc>
          <w:tcPr>
            <w:tcW w:w="1449" w:type="pct"/>
            <w:noWrap w:val="0"/>
            <w:vAlign w:val="center"/>
          </w:tcPr>
          <w:p w14:paraId="0850232A">
            <w:pPr>
              <w:jc w:val="center"/>
              <w:rPr>
                <w:rFonts w:hint="eastAsia" w:ascii="宋体" w:hAnsi="宋体" w:eastAsia="宋体" w:cs="宋体"/>
                <w:color w:val="000000"/>
                <w:kern w:val="0"/>
                <w:sz w:val="21"/>
                <w:szCs w:val="21"/>
              </w:rPr>
            </w:pPr>
            <w:r>
              <w:rPr>
                <w:rFonts w:hint="eastAsia" w:ascii="宋体" w:hAnsi="宋体" w:eastAsia="宋体" w:cs="宋体"/>
                <w:color w:val="000000"/>
                <w:sz w:val="21"/>
                <w:szCs w:val="21"/>
              </w:rPr>
              <w:t>达到国家一级标准限值</w:t>
            </w:r>
          </w:p>
        </w:tc>
      </w:tr>
      <w:tr w14:paraId="5B409E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6" w:type="pct"/>
            <w:noWrap w:val="0"/>
            <w:vAlign w:val="center"/>
          </w:tcPr>
          <w:p w14:paraId="72D35C1B">
            <w:pPr>
              <w:jc w:val="center"/>
              <w:rPr>
                <w:rFonts w:hint="eastAsia" w:ascii="宋体" w:hAnsi="宋体" w:eastAsia="宋体" w:cs="宋体"/>
                <w:color w:val="000000"/>
                <w:kern w:val="0"/>
                <w:sz w:val="21"/>
                <w:szCs w:val="21"/>
              </w:rPr>
            </w:pPr>
            <w:r>
              <w:rPr>
                <w:rFonts w:hint="eastAsia" w:ascii="宋体" w:hAnsi="宋体" w:eastAsia="宋体" w:cs="宋体"/>
                <w:color w:val="000000"/>
                <w:sz w:val="21"/>
                <w:szCs w:val="21"/>
              </w:rPr>
              <w:t>PM</w:t>
            </w:r>
            <w:r>
              <w:rPr>
                <w:rFonts w:hint="eastAsia" w:ascii="宋体" w:hAnsi="宋体" w:eastAsia="宋体" w:cs="宋体"/>
                <w:color w:val="000000"/>
                <w:sz w:val="21"/>
                <w:szCs w:val="21"/>
                <w:vertAlign w:val="subscript"/>
              </w:rPr>
              <w:t>10</w:t>
            </w:r>
          </w:p>
        </w:tc>
        <w:tc>
          <w:tcPr>
            <w:tcW w:w="1323" w:type="pct"/>
            <w:noWrap w:val="0"/>
            <w:vAlign w:val="center"/>
          </w:tcPr>
          <w:p w14:paraId="688D48E9">
            <w:pPr>
              <w:jc w:val="center"/>
              <w:rPr>
                <w:rFonts w:hint="eastAsia" w:ascii="宋体" w:hAnsi="宋体" w:eastAsia="宋体" w:cs="宋体"/>
                <w:color w:val="000000"/>
                <w:kern w:val="0"/>
                <w:sz w:val="21"/>
                <w:szCs w:val="21"/>
              </w:rPr>
            </w:pPr>
            <w:r>
              <w:rPr>
                <w:rFonts w:hint="eastAsia" w:ascii="宋体" w:hAnsi="宋体" w:eastAsia="宋体" w:cs="宋体"/>
                <w:color w:val="000000"/>
                <w:sz w:val="21"/>
                <w:szCs w:val="21"/>
              </w:rPr>
              <w:t>年平均</w:t>
            </w:r>
          </w:p>
        </w:tc>
        <w:tc>
          <w:tcPr>
            <w:tcW w:w="818" w:type="pct"/>
            <w:noWrap w:val="0"/>
            <w:vAlign w:val="center"/>
          </w:tcPr>
          <w:p w14:paraId="61A5814B">
            <w:pPr>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54</w:t>
            </w:r>
          </w:p>
        </w:tc>
        <w:tc>
          <w:tcPr>
            <w:tcW w:w="427" w:type="pct"/>
            <w:noWrap w:val="0"/>
            <w:vAlign w:val="center"/>
          </w:tcPr>
          <w:p w14:paraId="36198E37">
            <w:pPr>
              <w:jc w:val="center"/>
              <w:rPr>
                <w:rFonts w:hint="eastAsia" w:ascii="宋体" w:hAnsi="宋体" w:eastAsia="宋体" w:cs="宋体"/>
                <w:color w:val="000000"/>
                <w:kern w:val="0"/>
                <w:sz w:val="21"/>
                <w:szCs w:val="21"/>
              </w:rPr>
            </w:pPr>
            <w:r>
              <w:rPr>
                <w:rFonts w:hint="eastAsia" w:ascii="宋体" w:hAnsi="宋体" w:eastAsia="宋体" w:cs="宋体"/>
                <w:color w:val="000000"/>
                <w:sz w:val="21"/>
                <w:szCs w:val="21"/>
              </w:rPr>
              <w:t>40</w:t>
            </w:r>
          </w:p>
        </w:tc>
        <w:tc>
          <w:tcPr>
            <w:tcW w:w="445" w:type="pct"/>
            <w:noWrap w:val="0"/>
            <w:vAlign w:val="center"/>
          </w:tcPr>
          <w:p w14:paraId="7B3C4E15">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70</w:t>
            </w:r>
          </w:p>
        </w:tc>
        <w:tc>
          <w:tcPr>
            <w:tcW w:w="1449" w:type="pct"/>
            <w:noWrap w:val="0"/>
            <w:vAlign w:val="center"/>
          </w:tcPr>
          <w:p w14:paraId="5F987C73">
            <w:pPr>
              <w:jc w:val="center"/>
              <w:rPr>
                <w:rFonts w:hint="eastAsia" w:ascii="宋体" w:hAnsi="宋体" w:eastAsia="宋体" w:cs="宋体"/>
                <w:color w:val="000000"/>
                <w:kern w:val="0"/>
                <w:sz w:val="21"/>
                <w:szCs w:val="21"/>
              </w:rPr>
            </w:pPr>
            <w:r>
              <w:rPr>
                <w:rFonts w:hint="eastAsia" w:ascii="宋体" w:hAnsi="宋体" w:eastAsia="宋体" w:cs="宋体"/>
                <w:color w:val="000000"/>
                <w:sz w:val="21"/>
                <w:szCs w:val="21"/>
              </w:rPr>
              <w:t>达到国家二级标准限值</w:t>
            </w:r>
          </w:p>
        </w:tc>
      </w:tr>
      <w:tr w14:paraId="06DEA9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6" w:type="pct"/>
            <w:noWrap w:val="0"/>
            <w:vAlign w:val="center"/>
          </w:tcPr>
          <w:p w14:paraId="2E289E21">
            <w:pPr>
              <w:jc w:val="center"/>
              <w:rPr>
                <w:rFonts w:hint="eastAsia" w:ascii="宋体" w:hAnsi="宋体" w:eastAsia="宋体" w:cs="宋体"/>
                <w:color w:val="000000"/>
                <w:kern w:val="0"/>
                <w:sz w:val="21"/>
                <w:szCs w:val="21"/>
              </w:rPr>
            </w:pPr>
            <w:r>
              <w:rPr>
                <w:rFonts w:hint="eastAsia" w:ascii="宋体" w:hAnsi="宋体" w:eastAsia="宋体" w:cs="宋体"/>
                <w:color w:val="000000"/>
                <w:sz w:val="21"/>
                <w:szCs w:val="21"/>
              </w:rPr>
              <w:t>PM</w:t>
            </w:r>
            <w:r>
              <w:rPr>
                <w:rFonts w:hint="eastAsia" w:ascii="宋体" w:hAnsi="宋体" w:eastAsia="宋体" w:cs="宋体"/>
                <w:color w:val="000000"/>
                <w:sz w:val="21"/>
                <w:szCs w:val="21"/>
                <w:vertAlign w:val="subscript"/>
              </w:rPr>
              <w:t>2.5</w:t>
            </w:r>
          </w:p>
        </w:tc>
        <w:tc>
          <w:tcPr>
            <w:tcW w:w="1323" w:type="pct"/>
            <w:noWrap w:val="0"/>
            <w:vAlign w:val="center"/>
          </w:tcPr>
          <w:p w14:paraId="01CE0665">
            <w:pPr>
              <w:jc w:val="center"/>
              <w:rPr>
                <w:rFonts w:hint="eastAsia" w:ascii="宋体" w:hAnsi="宋体" w:eastAsia="宋体" w:cs="宋体"/>
                <w:color w:val="000000"/>
                <w:kern w:val="0"/>
                <w:sz w:val="21"/>
                <w:szCs w:val="21"/>
              </w:rPr>
            </w:pPr>
            <w:r>
              <w:rPr>
                <w:rFonts w:hint="eastAsia" w:ascii="宋体" w:hAnsi="宋体" w:eastAsia="宋体" w:cs="宋体"/>
                <w:color w:val="000000"/>
                <w:sz w:val="21"/>
                <w:szCs w:val="21"/>
              </w:rPr>
              <w:t>年平均</w:t>
            </w:r>
          </w:p>
        </w:tc>
        <w:tc>
          <w:tcPr>
            <w:tcW w:w="818" w:type="pct"/>
            <w:noWrap w:val="0"/>
            <w:vAlign w:val="center"/>
          </w:tcPr>
          <w:p w14:paraId="1F0AF64B">
            <w:pPr>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35</w:t>
            </w:r>
          </w:p>
        </w:tc>
        <w:tc>
          <w:tcPr>
            <w:tcW w:w="427" w:type="pct"/>
            <w:noWrap w:val="0"/>
            <w:vAlign w:val="center"/>
          </w:tcPr>
          <w:p w14:paraId="452CCCA3">
            <w:pPr>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15</w:t>
            </w:r>
          </w:p>
        </w:tc>
        <w:tc>
          <w:tcPr>
            <w:tcW w:w="445" w:type="pct"/>
            <w:noWrap w:val="0"/>
            <w:vAlign w:val="center"/>
          </w:tcPr>
          <w:p w14:paraId="4345A34B">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35</w:t>
            </w:r>
          </w:p>
        </w:tc>
        <w:tc>
          <w:tcPr>
            <w:tcW w:w="1449" w:type="pct"/>
            <w:noWrap w:val="0"/>
            <w:vAlign w:val="center"/>
          </w:tcPr>
          <w:p w14:paraId="6D1B3486">
            <w:pPr>
              <w:jc w:val="center"/>
              <w:rPr>
                <w:rFonts w:hint="eastAsia" w:ascii="宋体" w:hAnsi="宋体" w:eastAsia="宋体" w:cs="宋体"/>
                <w:color w:val="000000"/>
                <w:kern w:val="0"/>
                <w:sz w:val="21"/>
                <w:szCs w:val="21"/>
              </w:rPr>
            </w:pPr>
            <w:r>
              <w:rPr>
                <w:rFonts w:hint="eastAsia" w:ascii="宋体" w:hAnsi="宋体" w:eastAsia="宋体" w:cs="宋体"/>
                <w:color w:val="000000"/>
                <w:sz w:val="21"/>
                <w:szCs w:val="21"/>
              </w:rPr>
              <w:t>达到国家二级标准限值</w:t>
            </w:r>
          </w:p>
        </w:tc>
      </w:tr>
      <w:tr w14:paraId="033A69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6" w:type="pct"/>
            <w:noWrap w:val="0"/>
            <w:vAlign w:val="center"/>
          </w:tcPr>
          <w:p w14:paraId="63D7A26C">
            <w:pPr>
              <w:jc w:val="center"/>
              <w:rPr>
                <w:rFonts w:hint="eastAsia" w:ascii="宋体" w:hAnsi="宋体" w:eastAsia="宋体" w:cs="宋体"/>
                <w:color w:val="000000"/>
                <w:kern w:val="0"/>
                <w:sz w:val="21"/>
                <w:szCs w:val="21"/>
              </w:rPr>
            </w:pPr>
            <w:r>
              <w:rPr>
                <w:rFonts w:hint="eastAsia" w:ascii="宋体" w:hAnsi="宋体" w:eastAsia="宋体" w:cs="宋体"/>
                <w:color w:val="000000"/>
                <w:sz w:val="21"/>
                <w:szCs w:val="21"/>
              </w:rPr>
              <w:t>CO</w:t>
            </w:r>
          </w:p>
        </w:tc>
        <w:tc>
          <w:tcPr>
            <w:tcW w:w="1323" w:type="pct"/>
            <w:noWrap w:val="0"/>
            <w:vAlign w:val="center"/>
          </w:tcPr>
          <w:p w14:paraId="2C2CB24B">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24小时平均第95百分比浓度</w:t>
            </w:r>
          </w:p>
        </w:tc>
        <w:tc>
          <w:tcPr>
            <w:tcW w:w="818" w:type="pct"/>
            <w:noWrap w:val="0"/>
            <w:vAlign w:val="center"/>
          </w:tcPr>
          <w:p w14:paraId="7FB51022">
            <w:pPr>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1200</w:t>
            </w:r>
          </w:p>
        </w:tc>
        <w:tc>
          <w:tcPr>
            <w:tcW w:w="427" w:type="pct"/>
            <w:noWrap w:val="0"/>
            <w:vAlign w:val="center"/>
          </w:tcPr>
          <w:p w14:paraId="4B859236">
            <w:pPr>
              <w:jc w:val="center"/>
              <w:rPr>
                <w:rFonts w:hint="eastAsia" w:ascii="宋体" w:hAnsi="宋体" w:eastAsia="宋体" w:cs="宋体"/>
                <w:color w:val="000000"/>
                <w:kern w:val="0"/>
                <w:sz w:val="21"/>
                <w:szCs w:val="21"/>
              </w:rPr>
            </w:pPr>
            <w:r>
              <w:rPr>
                <w:rFonts w:hint="eastAsia" w:ascii="宋体" w:hAnsi="宋体" w:eastAsia="宋体" w:cs="宋体"/>
                <w:color w:val="000000"/>
                <w:sz w:val="21"/>
                <w:szCs w:val="21"/>
              </w:rPr>
              <w:t>4000</w:t>
            </w:r>
          </w:p>
        </w:tc>
        <w:tc>
          <w:tcPr>
            <w:tcW w:w="445" w:type="pct"/>
            <w:noWrap w:val="0"/>
            <w:vAlign w:val="center"/>
          </w:tcPr>
          <w:p w14:paraId="7CFC78AA">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4000</w:t>
            </w:r>
          </w:p>
        </w:tc>
        <w:tc>
          <w:tcPr>
            <w:tcW w:w="1449" w:type="pct"/>
            <w:noWrap w:val="0"/>
            <w:vAlign w:val="center"/>
          </w:tcPr>
          <w:p w14:paraId="164347C2">
            <w:pPr>
              <w:jc w:val="center"/>
              <w:rPr>
                <w:rFonts w:hint="eastAsia" w:ascii="宋体" w:hAnsi="宋体" w:eastAsia="宋体" w:cs="宋体"/>
                <w:color w:val="000000"/>
                <w:kern w:val="0"/>
                <w:sz w:val="21"/>
                <w:szCs w:val="21"/>
              </w:rPr>
            </w:pPr>
            <w:r>
              <w:rPr>
                <w:rFonts w:hint="eastAsia" w:ascii="宋体" w:hAnsi="宋体" w:eastAsia="宋体" w:cs="宋体"/>
                <w:color w:val="000000"/>
                <w:sz w:val="21"/>
                <w:szCs w:val="21"/>
              </w:rPr>
              <w:t>达到国家一级标准限值</w:t>
            </w:r>
          </w:p>
        </w:tc>
      </w:tr>
      <w:tr w14:paraId="435E6D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6" w:type="pct"/>
            <w:noWrap w:val="0"/>
            <w:vAlign w:val="center"/>
          </w:tcPr>
          <w:p w14:paraId="45D209DB">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O</w:t>
            </w:r>
            <w:r>
              <w:rPr>
                <w:rFonts w:hint="eastAsia" w:ascii="宋体" w:hAnsi="宋体" w:eastAsia="宋体" w:cs="宋体"/>
                <w:color w:val="000000"/>
                <w:sz w:val="21"/>
                <w:szCs w:val="21"/>
                <w:vertAlign w:val="subscript"/>
              </w:rPr>
              <w:t>3</w:t>
            </w:r>
          </w:p>
        </w:tc>
        <w:tc>
          <w:tcPr>
            <w:tcW w:w="1323" w:type="pct"/>
            <w:noWrap w:val="0"/>
            <w:vAlign w:val="center"/>
          </w:tcPr>
          <w:p w14:paraId="12CB91C0">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日最大8小时平均</w:t>
            </w:r>
          </w:p>
        </w:tc>
        <w:tc>
          <w:tcPr>
            <w:tcW w:w="818" w:type="pct"/>
            <w:noWrap w:val="0"/>
            <w:vAlign w:val="center"/>
          </w:tcPr>
          <w:p w14:paraId="31643DA2">
            <w:pPr>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161</w:t>
            </w:r>
          </w:p>
        </w:tc>
        <w:tc>
          <w:tcPr>
            <w:tcW w:w="427" w:type="pct"/>
            <w:noWrap w:val="0"/>
            <w:vAlign w:val="center"/>
          </w:tcPr>
          <w:p w14:paraId="6FD9E086">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445" w:type="pct"/>
            <w:noWrap w:val="0"/>
            <w:vAlign w:val="center"/>
          </w:tcPr>
          <w:p w14:paraId="45CD84C4">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160</w:t>
            </w:r>
          </w:p>
        </w:tc>
        <w:tc>
          <w:tcPr>
            <w:tcW w:w="1449" w:type="pct"/>
            <w:noWrap w:val="0"/>
            <w:vAlign w:val="center"/>
          </w:tcPr>
          <w:p w14:paraId="08B7B148">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不达标</w:t>
            </w:r>
          </w:p>
        </w:tc>
      </w:tr>
    </w:tbl>
    <w:p w14:paraId="5588E4D3">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cs="宋体"/>
          <w:color w:val="000000" w:themeColor="text1"/>
          <w:sz w:val="24"/>
          <w14:textFill>
            <w14:solidFill>
              <w14:schemeClr w14:val="tx1"/>
            </w14:solidFill>
          </w14:textFill>
        </w:rPr>
      </w:pPr>
      <w:r>
        <w:rPr>
          <w:rFonts w:hint="eastAsia" w:ascii="宋体" w:hAnsi="宋体" w:cs="宋体"/>
          <w:snapToGrid w:val="0"/>
          <w:color w:val="000000" w:themeColor="text1"/>
          <w:kern w:val="0"/>
          <w:sz w:val="24"/>
          <w14:textFill>
            <w14:solidFill>
              <w14:schemeClr w14:val="tx1"/>
            </w14:solidFill>
          </w14:textFill>
        </w:rPr>
        <w:t>由表</w:t>
      </w:r>
      <w:r>
        <w:rPr>
          <w:rFonts w:hint="eastAsia" w:ascii="宋体" w:hAnsi="宋体" w:cs="宋体"/>
          <w:snapToGrid w:val="0"/>
          <w:color w:val="000000" w:themeColor="text1"/>
          <w:kern w:val="0"/>
          <w:sz w:val="24"/>
          <w:lang w:val="en-US" w:eastAsia="zh-CN"/>
          <w14:textFill>
            <w14:solidFill>
              <w14:schemeClr w14:val="tx1"/>
            </w14:solidFill>
          </w14:textFill>
        </w:rPr>
        <w:t>5.1-2</w:t>
      </w:r>
      <w:r>
        <w:rPr>
          <w:rFonts w:hint="eastAsia" w:ascii="宋体" w:hAnsi="宋体" w:cs="宋体"/>
          <w:snapToGrid w:val="0"/>
          <w:color w:val="000000" w:themeColor="text1"/>
          <w:kern w:val="0"/>
          <w:sz w:val="24"/>
          <w14:textFill>
            <w14:solidFill>
              <w14:schemeClr w14:val="tx1"/>
            </w14:solidFill>
          </w14:textFill>
        </w:rPr>
        <w:t>统计结果可知，项目所在区域内环境空气质量因子</w:t>
      </w:r>
      <w:r>
        <w:rPr>
          <w:rFonts w:hint="eastAsia" w:ascii="宋体" w:hAnsi="宋体" w:cs="宋体"/>
          <w:color w:val="000000" w:themeColor="text1"/>
          <w:sz w:val="24"/>
          <w14:textFill>
            <w14:solidFill>
              <w14:schemeClr w14:val="tx1"/>
            </w14:solidFill>
          </w14:textFill>
        </w:rPr>
        <w:t>SO</w:t>
      </w:r>
      <w:r>
        <w:rPr>
          <w:rFonts w:hint="eastAsia" w:ascii="宋体" w:hAnsi="宋体" w:cs="宋体"/>
          <w:color w:val="000000" w:themeColor="text1"/>
          <w:sz w:val="24"/>
          <w:vertAlign w:val="subscript"/>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、NO</w:t>
      </w:r>
      <w:r>
        <w:rPr>
          <w:rFonts w:hint="eastAsia" w:ascii="宋体" w:hAnsi="宋体" w:cs="宋体"/>
          <w:color w:val="000000" w:themeColor="text1"/>
          <w:sz w:val="24"/>
          <w:vertAlign w:val="subscript"/>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、PM</w:t>
      </w:r>
      <w:r>
        <w:rPr>
          <w:rFonts w:hint="eastAsia" w:ascii="宋体" w:hAnsi="宋体" w:cs="宋体"/>
          <w:color w:val="000000" w:themeColor="text1"/>
          <w:sz w:val="24"/>
          <w:vertAlign w:val="subscript"/>
          <w14:textFill>
            <w14:solidFill>
              <w14:schemeClr w14:val="tx1"/>
            </w14:solidFill>
          </w14:textFill>
        </w:rPr>
        <w:t>10</w:t>
      </w:r>
      <w:r>
        <w:rPr>
          <w:rFonts w:hint="eastAsia" w:ascii="宋体" w:hAnsi="宋体" w:cs="宋体"/>
          <w:color w:val="000000" w:themeColor="text1"/>
          <w:sz w:val="24"/>
          <w14:textFill>
            <w14:solidFill>
              <w14:schemeClr w14:val="tx1"/>
            </w14:solidFill>
          </w14:textFill>
        </w:rPr>
        <w:t>、PM</w:t>
      </w:r>
      <w:r>
        <w:rPr>
          <w:rFonts w:hint="eastAsia" w:ascii="宋体" w:hAnsi="宋体" w:cs="宋体"/>
          <w:color w:val="000000" w:themeColor="text1"/>
          <w:sz w:val="24"/>
          <w:vertAlign w:val="subscript"/>
          <w14:textFill>
            <w14:solidFill>
              <w14:schemeClr w14:val="tx1"/>
            </w14:solidFill>
          </w14:textFill>
        </w:rPr>
        <w:t>2.5</w:t>
      </w:r>
      <w:r>
        <w:rPr>
          <w:rFonts w:hint="eastAsia" w:ascii="宋体" w:hAnsi="宋体" w:cs="宋体"/>
          <w:color w:val="000000" w:themeColor="text1"/>
          <w:sz w:val="24"/>
          <w14:textFill>
            <w14:solidFill>
              <w14:schemeClr w14:val="tx1"/>
            </w14:solidFill>
          </w14:textFill>
        </w:rPr>
        <w:t>、CO监测浓度值均能达标。</w:t>
      </w:r>
    </w:p>
    <w:p w14:paraId="4AB20762">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b w:val="0"/>
          <w:bCs w:val="0"/>
          <w:color w:val="000000" w:themeColor="text1"/>
          <w:sz w:val="24"/>
          <w:szCs w:val="24"/>
          <w:lang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（2）地表水环境</w:t>
      </w:r>
    </w:p>
    <w:p w14:paraId="1F28426A">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地表水环境质量监测结果表明，双桥河各监测断面的溶解氧污染指数大于1，超标倍数在0.74~1.35倍，可见双桥河水质不满足《地表水环境质量标准》（GB3838-2002）中Ⅳ类标准。石跋河在W6断面的生化需氧量因子略超标，超标倍数0.03倍；在W6、W7监测断面氨氮因子超标，超标倍数在0.12~0.15倍。可见石跋河水质不满足《地表水环境质量标准》（GB3838-2002）中</w:t>
      </w:r>
      <w:r>
        <w:rPr>
          <w:rFonts w:hint="eastAsia" w:ascii="宋体" w:hAnsi="宋体" w:cs="宋体"/>
          <w:color w:val="000000" w:themeColor="text1"/>
          <w:sz w:val="24"/>
          <w:lang w:val="en-US" w:eastAsia="zh-CN"/>
          <w14:textFill>
            <w14:solidFill>
              <w14:schemeClr w14:val="tx1"/>
            </w14:solidFill>
          </w14:textFill>
        </w:rPr>
        <w:t>Ⅲ</w:t>
      </w:r>
      <w:r>
        <w:rPr>
          <w:rFonts w:hint="eastAsia" w:ascii="宋体" w:hAnsi="宋体" w:eastAsia="宋体" w:cs="宋体"/>
          <w:color w:val="000000" w:themeColor="text1"/>
          <w:sz w:val="24"/>
          <w:lang w:val="en-US" w:eastAsia="zh-CN"/>
          <w14:textFill>
            <w14:solidFill>
              <w14:schemeClr w14:val="tx1"/>
            </w14:solidFill>
          </w14:textFill>
        </w:rPr>
        <w:t>类标准。</w:t>
      </w:r>
    </w:p>
    <w:p w14:paraId="10B3B0CF">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（3）地下水环境</w:t>
      </w:r>
    </w:p>
    <w:p w14:paraId="13B9D649">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本项目各监测点位处地下水监测因子均能满足《地下水质量标准》（GB/T14848-2017）中</w:t>
      </w:r>
      <w:r>
        <w:rPr>
          <w:rFonts w:hint="eastAsia" w:ascii="宋体" w:hAnsi="宋体" w:cs="宋体"/>
          <w:color w:val="000000" w:themeColor="text1"/>
          <w:sz w:val="24"/>
          <w:lang w:val="en-US" w:eastAsia="zh-CN"/>
          <w14:textFill>
            <w14:solidFill>
              <w14:schemeClr w14:val="tx1"/>
            </w14:solidFill>
          </w14:textFill>
        </w:rPr>
        <w:t>Ⅲ</w:t>
      </w:r>
      <w:r>
        <w:rPr>
          <w:rFonts w:hint="eastAsia" w:ascii="宋体" w:hAnsi="宋体" w:eastAsia="宋体" w:cs="宋体"/>
          <w:color w:val="000000" w:themeColor="text1"/>
          <w:sz w:val="24"/>
          <w:lang w:val="en-US" w:eastAsia="zh-CN"/>
          <w14:textFill>
            <w14:solidFill>
              <w14:schemeClr w14:val="tx1"/>
            </w14:solidFill>
          </w14:textFill>
        </w:rPr>
        <w:t>类标准要求。</w:t>
      </w:r>
    </w:p>
    <w:p w14:paraId="3DA80B40">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（4）声环境</w:t>
      </w:r>
    </w:p>
    <w:p w14:paraId="5D724C5B">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项目声环境满足《声环境质量标准》（GB3096—2008）中3类区标准，即昼间65dB(A)，夜间55dB(A)。</w:t>
      </w:r>
    </w:p>
    <w:p w14:paraId="50119710">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（5）土壤环境</w:t>
      </w:r>
    </w:p>
    <w:p w14:paraId="34CE5F0C">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项目土壤环境均可满足《</w:t>
      </w:r>
      <w:r>
        <w:rPr>
          <w:rFonts w:hint="eastAsia" w:ascii="宋体" w:hAnsi="宋体" w:cs="宋体"/>
          <w:color w:val="000000" w:themeColor="text1"/>
          <w:sz w:val="24"/>
          <w:lang w:val="en-US" w:eastAsia="zh-CN"/>
          <w14:textFill>
            <w14:solidFill>
              <w14:schemeClr w14:val="tx1"/>
            </w14:solidFill>
          </w14:textFill>
        </w:rPr>
        <w:t>土壤环境质量 建设用地土壤污染风险管控标准（试行）</w:t>
      </w:r>
      <w:r>
        <w:rPr>
          <w:rFonts w:hint="eastAsia" w:ascii="宋体" w:hAnsi="宋体" w:eastAsia="宋体" w:cs="宋体"/>
          <w:color w:val="000000" w:themeColor="text1"/>
          <w:sz w:val="24"/>
          <w:lang w:val="en-US" w:eastAsia="zh-CN"/>
          <w14:textFill>
            <w14:solidFill>
              <w14:schemeClr w14:val="tx1"/>
            </w14:solidFill>
          </w14:textFill>
        </w:rPr>
        <w:t>》(GB36600—2018)未超过建设用地土壤污染风险筛选值。</w:t>
      </w:r>
    </w:p>
    <w:p w14:paraId="1AB024C5">
      <w:pPr>
        <w:keepNext w:val="0"/>
        <w:keepLines w:val="0"/>
        <w:pageBreakBefore w:val="0"/>
        <w:widowControl/>
        <w:suppressLineNumbers w:val="0"/>
        <w:kinsoku/>
        <w:wordWrap/>
        <w:overflowPunct/>
        <w:topLinePunct w:val="0"/>
        <w:autoSpaceDE/>
        <w:autoSpaceDN/>
        <w:bidi w:val="0"/>
        <w:adjustRightInd/>
        <w:snapToGrid w:val="0"/>
        <w:spacing w:line="360" w:lineRule="auto"/>
        <w:ind w:firstLine="482" w:firstLineChars="200"/>
        <w:jc w:val="left"/>
        <w:textAlignment w:val="auto"/>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（四）环境影响预测与评价</w:t>
      </w:r>
    </w:p>
    <w:p w14:paraId="234E509A">
      <w:pPr>
        <w:keepNext w:val="0"/>
        <w:keepLines w:val="0"/>
        <w:pageBreakBefore w:val="0"/>
        <w:widowControl/>
        <w:suppressLineNumbers w:val="0"/>
        <w:kinsoku/>
        <w:wordWrap/>
        <w:overflowPunct/>
        <w:topLinePunct w:val="0"/>
        <w:autoSpaceDE/>
        <w:autoSpaceDN/>
        <w:bidi w:val="0"/>
        <w:adjustRightInd/>
        <w:snapToGrid w:val="0"/>
        <w:spacing w:line="360" w:lineRule="auto"/>
        <w:ind w:firstLine="482" w:firstLineChars="200"/>
        <w:jc w:val="left"/>
        <w:textAlignment w:val="auto"/>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A</w:t>
      </w:r>
      <w:r>
        <w:rPr>
          <w:rFonts w:hint="eastAsia" w:ascii="宋体" w:hAnsi="宋体" w:cs="宋体"/>
          <w:b/>
          <w:bCs/>
          <w:color w:val="000000"/>
          <w:kern w:val="0"/>
          <w:sz w:val="24"/>
          <w:szCs w:val="24"/>
          <w:lang w:val="en-US" w:eastAsia="zh-CN" w:bidi="ar"/>
        </w:rPr>
        <w:t>.</w:t>
      </w:r>
      <w:r>
        <w:rPr>
          <w:rFonts w:hint="eastAsia" w:ascii="宋体" w:hAnsi="宋体" w:eastAsia="宋体" w:cs="宋体"/>
          <w:b/>
          <w:bCs/>
          <w:color w:val="000000"/>
          <w:kern w:val="0"/>
          <w:sz w:val="24"/>
          <w:szCs w:val="24"/>
          <w:lang w:val="en-US" w:eastAsia="zh-CN" w:bidi="ar"/>
        </w:rPr>
        <w:t>施工期环境影响分析结论</w:t>
      </w:r>
    </w:p>
    <w:p w14:paraId="0938C7AA">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（1）大气环境影响分析</w:t>
      </w:r>
    </w:p>
    <w:p w14:paraId="2E00D54D">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项目施工期粉尘影响范围一般在100m以内，通过洒水抑尘、加设围挡、物料运输加盖篷布、施工现场禁止石灰土搅拌等措施后，可大大降低施工期粉尘对周边敏感点的不利影响，施工废气排放量较小，影响范围及程度较小。</w:t>
      </w:r>
    </w:p>
    <w:p w14:paraId="5D9DAD90">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（2）水环境影响分析</w:t>
      </w:r>
    </w:p>
    <w:p w14:paraId="33DEEC10">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施工期生产废水经临时沉淀池沉淀后回用，施工场地生活污水经临时厕所、化粪池等临时生活设施经预处理后，用于农灌。</w:t>
      </w:r>
    </w:p>
    <w:p w14:paraId="178EF9C7">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 xml:space="preserve">（3）声环境影响分析 </w:t>
      </w:r>
    </w:p>
    <w:p w14:paraId="3F753CFB">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施工期噪声主要是施工阶段所使用的机械所产生的噪声，通过机动车辆减速慢行，禁鸣喇叭，严禁夜间（22:00时至次日6:00），对施工机械加装弹性垫等措施，可降低对周围环境的影响。</w:t>
      </w:r>
    </w:p>
    <w:p w14:paraId="463481EC">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（4）固体废弃物影响分析</w:t>
      </w:r>
    </w:p>
    <w:p w14:paraId="6021B170">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施工过程产生的弃土方尽可能回用于厂内场地地面平整，多余部分外运。施工建筑垃圾可以回收利用的部分应积极进行综合利用，不能利用的建筑垃圾送至城管部门指定的地点堆放，施工人员生活垃圾利用临时生活垃圾收集系统，经收集后交由环卫部门处理，施工期固体废物做到了合理处置，对周边环境影响较小。</w:t>
      </w:r>
    </w:p>
    <w:p w14:paraId="043E3299">
      <w:pPr>
        <w:keepNext w:val="0"/>
        <w:keepLines w:val="0"/>
        <w:pageBreakBefore w:val="0"/>
        <w:widowControl/>
        <w:suppressLineNumbers w:val="0"/>
        <w:kinsoku/>
        <w:wordWrap/>
        <w:overflowPunct/>
        <w:topLinePunct w:val="0"/>
        <w:autoSpaceDE/>
        <w:autoSpaceDN/>
        <w:bidi w:val="0"/>
        <w:adjustRightInd/>
        <w:snapToGrid w:val="0"/>
        <w:spacing w:line="360" w:lineRule="auto"/>
        <w:ind w:firstLine="482" w:firstLineChars="200"/>
        <w:jc w:val="left"/>
        <w:textAlignment w:val="auto"/>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B</w:t>
      </w:r>
      <w:r>
        <w:rPr>
          <w:rFonts w:hint="eastAsia" w:ascii="宋体" w:hAnsi="宋体" w:cs="宋体"/>
          <w:b/>
          <w:bCs/>
          <w:color w:val="000000"/>
          <w:kern w:val="0"/>
          <w:sz w:val="24"/>
          <w:szCs w:val="24"/>
          <w:lang w:val="en-US" w:eastAsia="zh-CN" w:bidi="ar"/>
        </w:rPr>
        <w:t>.</w:t>
      </w:r>
      <w:r>
        <w:rPr>
          <w:rFonts w:hint="eastAsia" w:ascii="宋体" w:hAnsi="宋体" w:eastAsia="宋体" w:cs="宋体"/>
          <w:b/>
          <w:bCs/>
          <w:color w:val="000000"/>
          <w:kern w:val="0"/>
          <w:sz w:val="24"/>
          <w:szCs w:val="24"/>
          <w:lang w:val="en-US" w:eastAsia="zh-CN" w:bidi="ar"/>
        </w:rPr>
        <w:t>运营期环境影响评价结论</w:t>
      </w:r>
    </w:p>
    <w:p w14:paraId="078906C2">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 xml:space="preserve">（1）大气环境影响预测与评价 </w:t>
      </w:r>
    </w:p>
    <w:p w14:paraId="2FA03429">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cs="宋体"/>
          <w:color w:val="000000"/>
          <w:sz w:val="24"/>
          <w:lang w:val="en-US" w:eastAsia="zh-CN"/>
        </w:rPr>
        <w:t>1）</w:t>
      </w:r>
      <w:r>
        <w:rPr>
          <w:rFonts w:hint="eastAsia" w:ascii="宋体" w:hAnsi="宋体" w:eastAsia="宋体" w:cs="宋体"/>
          <w:color w:val="000000"/>
          <w:sz w:val="24"/>
          <w:lang w:val="en-US" w:eastAsia="zh-CN"/>
        </w:rPr>
        <w:t>本项目营运期废气主要为污水处理构筑物在污水和污泥处理过程中产生的恶臭，主要污染因子为NH</w:t>
      </w:r>
      <w:r>
        <w:rPr>
          <w:rFonts w:hint="eastAsia" w:ascii="宋体" w:hAnsi="宋体" w:eastAsia="宋体" w:cs="宋体"/>
          <w:color w:val="000000"/>
          <w:sz w:val="24"/>
          <w:vertAlign w:val="subscript"/>
          <w:lang w:val="en-US" w:eastAsia="zh-CN"/>
        </w:rPr>
        <w:t>3</w:t>
      </w:r>
      <w:r>
        <w:rPr>
          <w:rFonts w:hint="eastAsia" w:ascii="宋体" w:hAnsi="宋体" w:eastAsia="宋体" w:cs="宋体"/>
          <w:color w:val="000000"/>
          <w:sz w:val="24"/>
          <w:lang w:val="en-US" w:eastAsia="zh-CN"/>
        </w:rPr>
        <w:t>、H</w:t>
      </w:r>
      <w:r>
        <w:rPr>
          <w:rFonts w:hint="eastAsia" w:ascii="宋体" w:hAnsi="宋体" w:eastAsia="宋体" w:cs="宋体"/>
          <w:color w:val="000000"/>
          <w:sz w:val="24"/>
          <w:vertAlign w:val="subscript"/>
          <w:lang w:val="en-US" w:eastAsia="zh-CN"/>
        </w:rPr>
        <w:t>2</w:t>
      </w:r>
      <w:r>
        <w:rPr>
          <w:rFonts w:hint="eastAsia" w:ascii="宋体" w:hAnsi="宋体" w:eastAsia="宋体" w:cs="宋体"/>
          <w:color w:val="000000"/>
          <w:sz w:val="24"/>
          <w:lang w:val="en-US" w:eastAsia="zh-CN"/>
        </w:rPr>
        <w:t>S。根据估算结果可知，本项目运营期间有组织形式和无组织形式排放的各污染物的下风向最大落地浓度占标率均小于10%，对周围大气环境的影响不大。</w:t>
      </w:r>
    </w:p>
    <w:p w14:paraId="24208256">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2）大气环境防护距离：综合考虑到距离周边环境敏感目标，因此本次环评建议环境防护距离设为厂界外100m。通过现状调查可知，环境防护距离范围内有村庄姜庄（待拆迁）、安王（待拆迁）。环评建议环境防护距离内的土地禁止建设居民点、学校、医院等敏感目标，不能建设食品加工、药品、电子等对空气环境质量要求很高的项目。运营时厂区废气通过设置绿化隔离带；合理布局废气污染源；可覆盖的废气污染源加盖密封；及时运输和处置污泥；臭气采用生物除臭法处理等措施来减轻其对周围环境的影响，使废气污染物达到《城镇污水处理厂污染物排放标准》（GB18918-2002）中表5“厂界（防护带边缘）废气排放最高允许浓度”中二级标准，不降低项目区现有空气环境质量功能。</w:t>
      </w:r>
    </w:p>
    <w:p w14:paraId="740BAAF8">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（2）水环境影响预测与评价</w:t>
      </w:r>
    </w:p>
    <w:p w14:paraId="1E24B4F8">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污水处理厂建设近期1万m</w:t>
      </w:r>
      <w:r>
        <w:rPr>
          <w:rFonts w:hint="eastAsia" w:ascii="宋体" w:hAnsi="宋体" w:eastAsia="宋体" w:cs="宋体"/>
          <w:color w:val="000000"/>
          <w:sz w:val="24"/>
          <w:vertAlign w:val="superscript"/>
          <w:lang w:val="en-US" w:eastAsia="zh-CN"/>
        </w:rPr>
        <w:t>3</w:t>
      </w:r>
      <w:r>
        <w:rPr>
          <w:rFonts w:hint="eastAsia" w:ascii="宋体" w:hAnsi="宋体" w:eastAsia="宋体" w:cs="宋体"/>
          <w:color w:val="000000"/>
          <w:sz w:val="24"/>
          <w:lang w:val="en-US" w:eastAsia="zh-CN"/>
        </w:rPr>
        <w:t>/d，污水处理厂实施”预处理+水解酸化池+改良AAO氧化沟+高效沉淀+反硝化深床滤池”的工艺，处理后尾水满足《城镇污水处理厂污染物排放标准》（GB18918-2002）中一级A标准后，排入双桥河。</w:t>
      </w:r>
    </w:p>
    <w:p w14:paraId="0AF0CA47">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污水处理厂建成后，排污口附近主要污染物 COD 和氨氮浓度虽然有所上升，但随着水流向下流淌距离的增加而浓度逐渐衰减，水质类别依旧维持在Ⅳ类水的指标内，符合该区Ⅳ类水质管理目标要求。</w:t>
      </w:r>
    </w:p>
    <w:p w14:paraId="0614217F">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 xml:space="preserve">（3）声环境影响预测与评价 </w:t>
      </w:r>
    </w:p>
    <w:p w14:paraId="6798AF42">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经过预测可知，项目投产后厂界噪声昼间和夜间的预测值均能达到《工业企业厂界环境噪声排放标准》（GB12348-2008）中3类标准限值要求。</w:t>
      </w:r>
    </w:p>
    <w:p w14:paraId="1D19C0D9">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 xml:space="preserve">（4）固体废物环境影响分析 </w:t>
      </w:r>
    </w:p>
    <w:p w14:paraId="035BC314">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项目产生的固体废物主要是格栅渣、沉砂、污泥及废润滑油。项目格栅渣及沉砂为第Ⅰ类一般工业固体废物，统一外运至和县生活垃圾卫生填埋场填埋；污泥需按照《危险废物鉴别标准 通则》（</w:t>
      </w:r>
      <w:r>
        <w:rPr>
          <w:rFonts w:hint="eastAsia" w:ascii="宋体" w:hAnsi="宋体" w:cs="宋体"/>
          <w:color w:val="000000"/>
          <w:sz w:val="24"/>
          <w:lang w:val="en-US" w:eastAsia="zh-CN"/>
        </w:rPr>
        <w:t>GB 5085.7-2019</w:t>
      </w:r>
      <w:r>
        <w:rPr>
          <w:rFonts w:hint="eastAsia" w:ascii="宋体" w:hAnsi="宋体" w:eastAsia="宋体" w:cs="宋体"/>
          <w:color w:val="000000"/>
          <w:sz w:val="24"/>
          <w:lang w:val="en-US" w:eastAsia="zh-CN"/>
        </w:rPr>
        <w:t>）对污泥进行危废鉴定。未鉴定前按危险废物要求管理和贮存。鉴定后，若不属于危险废物，则经带式污泥浓缩脱水机处理，脱水至80％后集中运送至和县污水处理厂（国祯环保集团运营）污泥处置中心处理。若属于危险废物则需进行稳定化、无害化后再进行妥善处置。废润滑油委托有资质单位处理处置。不会对环境产生二次污染，对周围环境影响较小。</w:t>
      </w:r>
    </w:p>
    <w:p w14:paraId="47E5D618">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 xml:space="preserve">（5）地下水影响分析 </w:t>
      </w:r>
    </w:p>
    <w:p w14:paraId="76BB2E5B">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本项目对可能产生地下水污染影响的各种途径均采取有效预防，在确保各项防渗措施落实，并加强维护和厂区环境管理的前提下，可有效控制厂区内的污水下渗现象，避免污染地下水，不会对区域地下水环境产生明显影响。</w:t>
      </w:r>
    </w:p>
    <w:p w14:paraId="503F3BA1">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（6）生态影响分析</w:t>
      </w:r>
    </w:p>
    <w:p w14:paraId="0D2EAFE4">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本项目的性质是将集水范围内的工业废水、生活污水收集并处理至达标后经集中排放于石梁河，大大减少了污水中各污染物的数量，对石梁河的水生态系统起了相当大的正面作用，大大改善了本地区的水体质量。</w:t>
      </w:r>
    </w:p>
    <w:p w14:paraId="668260A0">
      <w:pPr>
        <w:keepNext w:val="0"/>
        <w:keepLines w:val="0"/>
        <w:pageBreakBefore w:val="0"/>
        <w:widowControl/>
        <w:suppressLineNumbers w:val="0"/>
        <w:kinsoku/>
        <w:wordWrap/>
        <w:overflowPunct/>
        <w:topLinePunct w:val="0"/>
        <w:autoSpaceDE/>
        <w:autoSpaceDN/>
        <w:bidi w:val="0"/>
        <w:adjustRightInd/>
        <w:snapToGrid w:val="0"/>
        <w:spacing w:line="360" w:lineRule="auto"/>
        <w:ind w:firstLine="482" w:firstLineChars="200"/>
        <w:jc w:val="left"/>
        <w:textAlignment w:val="auto"/>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（五）总量结论</w:t>
      </w:r>
    </w:p>
    <w:p w14:paraId="127153CD">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本次新增总量控制指标为 COD：182.5t/a，NH</w:t>
      </w:r>
      <w:r>
        <w:rPr>
          <w:rFonts w:hint="eastAsia" w:ascii="宋体" w:hAnsi="宋体" w:eastAsia="宋体" w:cs="宋体"/>
          <w:color w:val="000000"/>
          <w:sz w:val="24"/>
          <w:vertAlign w:val="subscript"/>
          <w:lang w:val="en-US" w:eastAsia="zh-CN"/>
        </w:rPr>
        <w:t>3</w:t>
      </w:r>
      <w:r>
        <w:rPr>
          <w:rFonts w:hint="eastAsia" w:ascii="宋体" w:hAnsi="宋体" w:eastAsia="宋体" w:cs="宋体"/>
          <w:color w:val="000000"/>
          <w:sz w:val="24"/>
          <w:lang w:val="en-US" w:eastAsia="zh-CN"/>
        </w:rPr>
        <w:t>-N：18.25t/a。</w:t>
      </w:r>
    </w:p>
    <w:p w14:paraId="6D9EEBC6">
      <w:pPr>
        <w:keepNext w:val="0"/>
        <w:keepLines w:val="0"/>
        <w:pageBreakBefore w:val="0"/>
        <w:widowControl/>
        <w:suppressLineNumbers w:val="0"/>
        <w:kinsoku/>
        <w:wordWrap/>
        <w:overflowPunct/>
        <w:topLinePunct w:val="0"/>
        <w:autoSpaceDE/>
        <w:autoSpaceDN/>
        <w:bidi w:val="0"/>
        <w:adjustRightInd/>
        <w:snapToGrid w:val="0"/>
        <w:spacing w:line="360" w:lineRule="auto"/>
        <w:ind w:firstLine="482" w:firstLineChars="200"/>
        <w:jc w:val="left"/>
        <w:textAlignment w:val="auto"/>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（六）公众态度</w:t>
      </w:r>
    </w:p>
    <w:p w14:paraId="490BE144">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2019年1月18日，该项目在和县经济开发区管委会网站上发布《和县经济开发区污水处理厂及配套管网工程项目环境影响评价第一次信息公示》。</w:t>
      </w:r>
    </w:p>
    <w:p w14:paraId="00AB12BB">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2019年10月18日，环评征求意见稿在和县经济开发区管委会网站上发布二次公示在公示，于2019年10月20日在周边敏感点进行了现场公示，并于2019年10月28日和10月29日在“马鞍山日报”进行了两次报纸公示。公示期间未收到相关意见，建设单位要认真落实各项环保措施，解决好相关污染问题，尽量减轻对周围环境可能产生的影响。</w:t>
      </w:r>
    </w:p>
    <w:p w14:paraId="1188A20F">
      <w:pPr>
        <w:keepNext w:val="0"/>
        <w:keepLines w:val="0"/>
        <w:pageBreakBefore w:val="0"/>
        <w:widowControl/>
        <w:suppressLineNumbers w:val="0"/>
        <w:kinsoku/>
        <w:wordWrap/>
        <w:overflowPunct/>
        <w:topLinePunct w:val="0"/>
        <w:autoSpaceDE/>
        <w:autoSpaceDN/>
        <w:bidi w:val="0"/>
        <w:adjustRightInd/>
        <w:snapToGrid w:val="0"/>
        <w:spacing w:line="360" w:lineRule="auto"/>
        <w:ind w:firstLine="482" w:firstLineChars="200"/>
        <w:jc w:val="left"/>
        <w:textAlignment w:val="auto"/>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 xml:space="preserve">（七）总结论 </w:t>
      </w:r>
    </w:p>
    <w:p w14:paraId="22B7EDB4">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 xml:space="preserve">和县经济开发区作为省级开发区，台湾农民创业园作为和县城市规划区内重要的生态功能片区，不仅是农业产业的发展基地，也在城市的总体布局中承担着重要的生态服务功能。目前区域内废水进入和县城镇污水处理厂处理，鉴于和县城镇污水处理厂处于饱和状态，其处理工艺主要用于处理生活污水，处理工业废水能力有限；同时随着和县经济开发区开发强度的增大，急需顺应环保要求，建设工业污水处理厂。 </w:t>
      </w:r>
    </w:p>
    <w:p w14:paraId="1843DE94">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和县经济开发区污水处理厂及配套管网工程项目是属于市政公用环境保护工程建设项目，工程建设符合国家产业政策要求，厂址选址符合规划要求，采用的深度处理工艺、环境保护措施等方案均合理可行。本项目的实施不增加该功能区的污染物量，工业废水经过“改良型AAO氧化沟工艺+高效沉淀+反硝化深床滤池”处理后，污水处理厂出水水质执行标准为《城镇污水处理厂污染物排放标准》（GB18918-2002）一级 A 标准。本项目的实施能够大大降低区域内污染物排放浓度，减少污染物排放总量，从区域纳污能力总量控制角度出发，能有效地缓解区域水功能区入河污染物总量控制的压力。对改善区域水环境质量，保护地表水环境起到非常重要的作用，环境效益十分显著。</w:t>
      </w:r>
    </w:p>
    <w:p w14:paraId="4B3F81C0">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因此，从环境影响角度来看，和县经济开发区污水处理厂及配套管网工程项目建设具有环境可行性。</w:t>
      </w:r>
    </w:p>
    <w:p w14:paraId="319E348E">
      <w:pPr>
        <w:keepNext w:val="0"/>
        <w:keepLines w:val="0"/>
        <w:pageBreakBefore w:val="0"/>
        <w:widowControl/>
        <w:suppressLineNumbers w:val="0"/>
        <w:kinsoku/>
        <w:wordWrap/>
        <w:overflowPunct/>
        <w:topLinePunct w:val="0"/>
        <w:autoSpaceDE/>
        <w:autoSpaceDN/>
        <w:bidi w:val="0"/>
        <w:adjustRightInd/>
        <w:snapToGrid w:val="0"/>
        <w:spacing w:line="360" w:lineRule="auto"/>
        <w:ind w:firstLine="482" w:firstLineChars="200"/>
        <w:jc w:val="left"/>
        <w:textAlignment w:val="auto"/>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 xml:space="preserve">（八）建议 </w:t>
      </w:r>
    </w:p>
    <w:p w14:paraId="75E71E33">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（1）为保证污水处理厂正常的运行，严格监控进入污水处理厂的工业废水水质，切实落实好工业废水接管标准，加强管理确保入驻企业的污水预处理设施的正常运行，以保证污水处理厂的</w:t>
      </w:r>
      <w:r>
        <w:rPr>
          <w:rFonts w:hint="eastAsia" w:ascii="宋体" w:hAnsi="宋体" w:cs="宋体"/>
          <w:color w:val="000000"/>
          <w:sz w:val="24"/>
          <w:lang w:val="en-US" w:eastAsia="zh-CN"/>
        </w:rPr>
        <w:t>出水水质</w:t>
      </w:r>
      <w:r>
        <w:rPr>
          <w:rFonts w:hint="eastAsia" w:ascii="宋体" w:hAnsi="宋体" w:eastAsia="宋体" w:cs="宋体"/>
          <w:color w:val="000000"/>
          <w:sz w:val="24"/>
          <w:lang w:val="en-US" w:eastAsia="zh-CN"/>
        </w:rPr>
        <w:t>满足设计水质的要求，杜绝不经妥善处理直接排放现象；加强防范和采取应急措施，预防污水处理厂的事故发生。</w:t>
      </w:r>
    </w:p>
    <w:p w14:paraId="302E898C">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（2）厂界四周进行合理绿化，合理</w:t>
      </w:r>
      <w:r>
        <w:rPr>
          <w:rFonts w:hint="eastAsia" w:ascii="宋体" w:hAnsi="宋体" w:cs="宋体"/>
          <w:color w:val="000000"/>
          <w:sz w:val="24"/>
          <w:lang w:val="en-US" w:eastAsia="zh-CN"/>
        </w:rPr>
        <w:t>布置</w:t>
      </w:r>
      <w:r>
        <w:rPr>
          <w:rFonts w:hint="eastAsia" w:ascii="宋体" w:hAnsi="宋体" w:eastAsia="宋体" w:cs="宋体"/>
          <w:color w:val="000000"/>
          <w:sz w:val="24"/>
          <w:lang w:val="en-US" w:eastAsia="zh-CN"/>
        </w:rPr>
        <w:t>厂区设施位置，污水管设计流速足够大，格栅井截留的固废及时清运并处理，以减少项目产生的恶臭气体。</w:t>
      </w:r>
    </w:p>
    <w:p w14:paraId="54576DF3">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（3）加强污水处理厂的运行管理问题，包括厂内及厂外两部分：对于</w:t>
      </w:r>
      <w:r>
        <w:rPr>
          <w:rFonts w:hint="eastAsia" w:ascii="宋体" w:hAnsi="宋体" w:cs="宋体"/>
          <w:color w:val="000000"/>
          <w:sz w:val="24"/>
          <w:lang w:val="en-US" w:eastAsia="zh-CN"/>
        </w:rPr>
        <w:t>污水处理厂</w:t>
      </w:r>
      <w:r>
        <w:rPr>
          <w:rFonts w:hint="eastAsia" w:ascii="宋体" w:hAnsi="宋体" w:eastAsia="宋体" w:cs="宋体"/>
          <w:color w:val="000000"/>
          <w:sz w:val="24"/>
          <w:lang w:val="en-US" w:eastAsia="zh-CN"/>
        </w:rPr>
        <w:t>内部管理，应加强水质的监测，根据水质水</w:t>
      </w:r>
      <w:r>
        <w:rPr>
          <w:rFonts w:hint="eastAsia" w:ascii="宋体" w:hAnsi="宋体" w:cs="宋体"/>
          <w:color w:val="000000"/>
          <w:sz w:val="24"/>
          <w:lang w:val="en-US" w:eastAsia="zh-CN"/>
        </w:rPr>
        <w:t>同</w:t>
      </w:r>
      <w:r>
        <w:rPr>
          <w:rFonts w:hint="eastAsia" w:ascii="宋体" w:hAnsi="宋体" w:eastAsia="宋体" w:cs="宋体"/>
          <w:color w:val="000000"/>
          <w:sz w:val="24"/>
          <w:lang w:val="en-US" w:eastAsia="zh-CN"/>
        </w:rPr>
        <w:t>变化及时调整污水处理各工段处理程序，保证处理出水达到要求，同时要确保整个系统的稳定、正常、合理运行；对于厂外运行管理，重点监控工业园区内入驻企业的</w:t>
      </w:r>
      <w:r>
        <w:rPr>
          <w:rFonts w:hint="eastAsia" w:ascii="宋体" w:hAnsi="宋体" w:cs="宋体"/>
          <w:color w:val="000000"/>
          <w:sz w:val="24"/>
          <w:lang w:val="en-US" w:eastAsia="zh-CN"/>
        </w:rPr>
        <w:t>出水水质</w:t>
      </w:r>
      <w:r>
        <w:rPr>
          <w:rFonts w:hint="eastAsia" w:ascii="宋体" w:hAnsi="宋体" w:eastAsia="宋体" w:cs="宋体"/>
          <w:color w:val="000000"/>
          <w:sz w:val="24"/>
          <w:lang w:val="en-US" w:eastAsia="zh-CN"/>
        </w:rPr>
        <w:t>，防止水质出现突变从而影响污水处理厂的稳定：同时应对新入驻企业进行系统分析和研究，减少不利于污水处理厂后续处理或重复处理措施，最大限度</w:t>
      </w:r>
      <w:r>
        <w:rPr>
          <w:rFonts w:hint="eastAsia" w:ascii="宋体" w:hAnsi="宋体" w:cs="宋体"/>
          <w:color w:val="000000"/>
          <w:sz w:val="24"/>
          <w:lang w:val="en-US" w:eastAsia="zh-CN"/>
        </w:rPr>
        <w:t>地</w:t>
      </w:r>
      <w:r>
        <w:rPr>
          <w:rFonts w:hint="eastAsia" w:ascii="宋体" w:hAnsi="宋体" w:eastAsia="宋体" w:cs="宋体"/>
          <w:color w:val="000000"/>
          <w:sz w:val="24"/>
          <w:lang w:val="en-US" w:eastAsia="zh-CN"/>
        </w:rPr>
        <w:t>发挥污水处理厂的规模效益。</w:t>
      </w:r>
    </w:p>
    <w:p w14:paraId="30EB1A90">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（4）所有排水管线及构筑物应做好防渗、防漏处理，防止地下水受到污染</w:t>
      </w:r>
      <w:r>
        <w:rPr>
          <w:rFonts w:hint="eastAsia" w:ascii="宋体" w:hAnsi="宋体" w:cs="宋体"/>
          <w:color w:val="000000"/>
          <w:sz w:val="24"/>
          <w:lang w:val="en-US" w:eastAsia="zh-CN"/>
        </w:rPr>
        <w:t>。</w:t>
      </w:r>
    </w:p>
    <w:p w14:paraId="5FAB88F3">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（5）为了避免项目建成后发生环境纠纷，本环评建议：以厂界外100m范围禁止建设居民点、学校、医院等环境敏感建筑物。</w:t>
      </w:r>
    </w:p>
    <w:p w14:paraId="6830E2D6">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1"/>
        <w:rPr>
          <w:rFonts w:hint="eastAsia" w:ascii="宋体" w:hAnsi="宋体" w:eastAsia="宋体" w:cs="宋体"/>
          <w:b/>
          <w:bCs/>
          <w:color w:val="000000"/>
          <w:kern w:val="0"/>
          <w:sz w:val="28"/>
          <w:szCs w:val="28"/>
          <w:lang w:val="en-US" w:eastAsia="zh-CN" w:bidi="ar"/>
        </w:rPr>
      </w:pPr>
      <w:bookmarkStart w:id="44" w:name="_Toc2435"/>
      <w:r>
        <w:rPr>
          <w:rFonts w:hint="eastAsia" w:ascii="宋体" w:hAnsi="宋体" w:eastAsia="宋体" w:cs="宋体"/>
          <w:b/>
          <w:bCs/>
          <w:color w:val="000000"/>
          <w:kern w:val="0"/>
          <w:sz w:val="28"/>
          <w:szCs w:val="28"/>
          <w:lang w:val="en-US" w:eastAsia="zh-CN" w:bidi="ar"/>
        </w:rPr>
        <w:t>5.2 审批部门审批意见</w:t>
      </w:r>
      <w:bookmarkEnd w:id="44"/>
    </w:p>
    <w:p w14:paraId="1834121F">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cs="宋体"/>
          <w:color w:val="000000"/>
          <w:sz w:val="24"/>
          <w:lang w:val="en-US" w:eastAsia="zh-CN"/>
        </w:rPr>
        <w:t>和县三峡水环境综合治理有限责任公司</w:t>
      </w:r>
      <w:r>
        <w:rPr>
          <w:rFonts w:hint="eastAsia" w:ascii="宋体" w:hAnsi="宋体" w:eastAsia="宋体" w:cs="宋体"/>
          <w:color w:val="000000"/>
          <w:sz w:val="24"/>
          <w:lang w:val="en-US" w:eastAsia="zh-CN"/>
        </w:rPr>
        <w:t>：</w:t>
      </w:r>
    </w:p>
    <w:p w14:paraId="77865B1D">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 xml:space="preserve">你公司报送的《和县经济开发区污水处理厂及配套管网工程项目环境影响报告书》（以下简称《报告书》）收悉（项目代码：2019-340523-78-03-000610）。该项目位于和县经济 </w:t>
      </w:r>
    </w:p>
    <w:p w14:paraId="478DA544">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开发区规划纬二路与经三路交口西北角。主要建设内容为：1、新建经济开发区污水处理厂一座，规模为1万立方米/天（分两阶段实施，其中一阶段处理规模为0.5万立方米/天，二阶段处理规模为0.5万立方米/天）；2、配套污水管网总长约11.8公里（一阶段总长约4.5 公里，二阶段总长约7.3公里）。主要收水范围包括和县经开区（服务面积3.9平方公里）与和县台湾农民创业园（服务面积0.7平方公里）。项目总投资11370.83万元，其中环保投资122.5万元。依据《中华人民共和国环境影响评价法》第二十二条之规定，经研究，提出审批意见如下</w:t>
      </w:r>
    </w:p>
    <w:p w14:paraId="7D1833A1">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一、在全面落实《报告书》提出的各项环境保护措施以及本审批意见的前提下，污染物可以实现达标排放，且满足总量控制指标相关要求，从环境保护角度，我局原则同意你公司按《报告书》所列建设项目的性质、规模、内容、地点、生产工艺和污染防治措施进行建设。</w:t>
      </w:r>
    </w:p>
    <w:p w14:paraId="7AF4984D">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二、项目建设及生产过程中应重点做好以下工作：</w:t>
      </w:r>
    </w:p>
    <w:p w14:paraId="1CD32D24">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（一）全过程贯彻清洁生产原则和循环经济理念，加强生产管理和环境管理，采用国家鼓励的密闭化技术和设备、污染防治措施，减少污染物排放。</w:t>
      </w:r>
    </w:p>
    <w:p w14:paraId="78804A00">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二）强化大气污染防治工作。落实《报告书》中提出的大气污染防治措施。粗格栅及进水泵房、细格栅及曝气沉砂池、污泥浓缩脱水机房产生的恶臭经“密闭收集+生物滤池除臭装置”处理后，通过排气筒排放，执行《恶臭污染物排放标准》（GB14554-93）中相应标准要求。按标准要求规范设置各类排气筒。</w:t>
      </w:r>
    </w:p>
    <w:p w14:paraId="301257CE">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 xml:space="preserve">落实《报告书》中提出的无组织废气防治措施的要求，满足《城镇污水处理厂污染物排放标准》（GB 18918-2002）中相应厂界浓度限值的要求。 </w:t>
      </w:r>
    </w:p>
    <w:p w14:paraId="4E0F444E">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三）强化水污染防治工作。加快建设配套污水管网工程，做好进水水质管控工作。落实《报告书》中提出的水污染防治措施。本项目采取“粗格栅+进水泵房+细格栅+曝气沉砂池+水解酸化池+改良AAO氧化沟+二沉池+高效沉淀池+反硝化深床滤池+次氯酸钠消毒”处理工艺，尾水外排至双桥河，出水水质执行《城镇污水处理厂污染物排放标准》（GB 18918-2002）中的一级A标准。</w:t>
      </w:r>
    </w:p>
    <w:p w14:paraId="32E1E327">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按照“分区防渗”原则，全面落实《报告书》提出的防渗要求。各区域防渗系数应达到相应要求，防止污染土壤和地下水。</w:t>
      </w:r>
    </w:p>
    <w:p w14:paraId="1C7DB4EA">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（四）严格落实固体废物分类处置，强化危险废物全过程管理。建立固体废物</w:t>
      </w:r>
      <w:r>
        <w:rPr>
          <w:rFonts w:hint="eastAsia" w:ascii="宋体" w:hAnsi="宋体" w:cs="宋体"/>
          <w:color w:val="000000"/>
          <w:sz w:val="24"/>
          <w:lang w:val="en-US" w:eastAsia="zh-CN"/>
        </w:rPr>
        <w:t>管理台账</w:t>
      </w:r>
      <w:r>
        <w:rPr>
          <w:rFonts w:hint="eastAsia" w:ascii="宋体" w:hAnsi="宋体" w:eastAsia="宋体" w:cs="宋体"/>
          <w:color w:val="000000"/>
          <w:sz w:val="24"/>
          <w:lang w:val="en-US" w:eastAsia="zh-CN"/>
        </w:rPr>
        <w:t>，如实记录固体废物产生种类、数量、时间以及利用、处置和贮存情况。按固废“资源化、减量化、无害化”处理处置原则，落实《报告书》中提出的各类固废的收集、处理处置和综合利用措施，防止发生二次污染。危险废物必须委托有资质的单位安全处置，同时，执行危废处置转移联单管理制度。厂内危废暂存场所须符合《危险废物贮存污染控制标准》（</w:t>
      </w:r>
      <w:r>
        <w:rPr>
          <w:rFonts w:hint="eastAsia" w:ascii="宋体" w:hAnsi="宋体" w:cs="宋体"/>
          <w:color w:val="000000"/>
          <w:sz w:val="24"/>
          <w:lang w:val="en-US" w:eastAsia="zh-CN"/>
        </w:rPr>
        <w:t>GB 18597-2023</w:t>
      </w:r>
      <w:r>
        <w:rPr>
          <w:rFonts w:hint="eastAsia" w:ascii="宋体" w:hAnsi="宋体" w:eastAsia="宋体" w:cs="宋体"/>
          <w:color w:val="000000"/>
          <w:sz w:val="24"/>
          <w:lang w:val="en-US" w:eastAsia="zh-CN"/>
        </w:rPr>
        <w:t>）及修改单的规定要求，设置危险废物识别标志，并做好防风、防雨、防晒、防流失、防渗漏等工作。其它一般固废暂存场所应符合《一般工业固体废物贮存、处置场污染控制标准》（GB18599-2001）及修改单的规定要求。</w:t>
      </w:r>
    </w:p>
    <w:p w14:paraId="1A4686F4">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对不明确是否具有危险特性的固体废物（污泥），应严格按照有关规定和规范予以鉴别、认定。在固废属性尚未鉴别、认定前，须参照危险废物管理。</w:t>
      </w:r>
    </w:p>
    <w:p w14:paraId="0F04BC8B">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五）厂区要合理布局，主要产噪设备要远离厂界布置，同时选用低噪声设备，对高噪声设备应采取有效减振、隔声、消音等降噪措施，厂界噪声须符合《工业企业厂界环境噪声排放标准》（GB12348-2008）中相应标准的要求。</w:t>
      </w:r>
    </w:p>
    <w:p w14:paraId="4369753C">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六）加强环境风险预防和控制，落实《报告书》提出的风险防范措施，完善突发环境事故应急预案，采取切实可行的工程控制和管理措施，并适时更新升级，有效防范因污染事故排放或安全生产事故可能引发的环境风险。</w:t>
      </w:r>
    </w:p>
    <w:p w14:paraId="5D16F2D4">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（七）落实《报告书》所提出的环境防护距离要求。该防护距离内不得规划、建设居民住宅、医院、学校等环境敏感目标。</w:t>
      </w:r>
    </w:p>
    <w:p w14:paraId="6469A69E">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环境防护距离内现有的居民点完成搬迁前，本项目不得投入生产运营。</w:t>
      </w:r>
    </w:p>
    <w:p w14:paraId="0903D7D6">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（八）按《报告书》等有关要求，规范化设置各类排污口和标志，落实环境管理和监控计划。</w:t>
      </w:r>
    </w:p>
    <w:p w14:paraId="69DFD5CB">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三、项目建设须严格执行环境保护设施与主体工程同时设计、同时施工、同时投入使用的环境保护“三同时”制度。项目建成后，必须严格执行排污许可制度，在发生实际排污行为前按照国家有关规定申领排污许可证，同时，按规定要求完成该项目竣工环境保护验收，验收合格后，项目方可正式投入生产。若项目发生重大变化，你公司应依法重新履行相关审批手续。</w:t>
      </w:r>
    </w:p>
    <w:p w14:paraId="664DD297">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四、工程施工和运营过程中，建立健全环境保护公众参与机制和信息沟通平台，定期发布企业环境信息，积极回应公众合理环境诉求，满足公众合理的环境保护要求，并主动接受社会监督。</w:t>
      </w:r>
    </w:p>
    <w:p w14:paraId="06A89622">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五、和县生态环境局负责该项目环境保护“三同时”的日常监督管理工作，并加强施工期环境监管。</w:t>
      </w:r>
    </w:p>
    <w:p w14:paraId="52611ABE">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六、收到本审批意见后，你公司应及时将批准后的《报告书》送至和县生态环境分局。</w:t>
      </w:r>
    </w:p>
    <w:p w14:paraId="12CFD517">
      <w:pPr>
        <w:keepNext w:val="0"/>
        <w:keepLines w:val="0"/>
        <w:pageBreakBefore w:val="0"/>
        <w:widowControl/>
        <w:suppressLineNumbers w:val="0"/>
        <w:kinsoku/>
        <w:wordWrap/>
        <w:overflowPunct/>
        <w:topLinePunct w:val="0"/>
        <w:autoSpaceDE/>
        <w:autoSpaceDN/>
        <w:bidi w:val="0"/>
        <w:adjustRightInd/>
        <w:snapToGrid/>
        <w:spacing w:line="360" w:lineRule="auto"/>
        <w:jc w:val="right"/>
        <w:textAlignment w:val="auto"/>
        <w:rPr>
          <w:rFonts w:hint="eastAsia" w:ascii="宋体" w:hAnsi="宋体" w:eastAsia="宋体" w:cs="宋体"/>
        </w:rPr>
      </w:pPr>
      <w:r>
        <w:rPr>
          <w:rFonts w:hint="eastAsia" w:ascii="宋体" w:hAnsi="宋体" w:eastAsia="宋体" w:cs="宋体"/>
          <w:color w:val="000000"/>
          <w:kern w:val="0"/>
          <w:sz w:val="24"/>
          <w:szCs w:val="24"/>
          <w:lang w:val="en-US" w:eastAsia="zh-CN" w:bidi="ar"/>
        </w:rPr>
        <w:t>马鞍山市生态环境局</w:t>
      </w:r>
    </w:p>
    <w:p w14:paraId="3D675D4E">
      <w:pPr>
        <w:pStyle w:val="9"/>
        <w:keepNext w:val="0"/>
        <w:keepLines w:val="0"/>
        <w:pageBreakBefore w:val="0"/>
        <w:kinsoku/>
        <w:wordWrap/>
        <w:overflowPunct/>
        <w:topLinePunct w:val="0"/>
        <w:autoSpaceDE/>
        <w:autoSpaceDN/>
        <w:bidi w:val="0"/>
        <w:adjustRightInd/>
        <w:snapToGrid/>
        <w:spacing w:after="0" w:line="360" w:lineRule="auto"/>
        <w:jc w:val="right"/>
        <w:textAlignment w:val="auto"/>
        <w:rPr>
          <w:rFonts w:hint="eastAsia" w:ascii="宋体" w:hAnsi="宋体" w:eastAsia="宋体" w:cs="宋体"/>
          <w:color w:val="000000"/>
          <w:kern w:val="0"/>
          <w:sz w:val="24"/>
          <w:szCs w:val="24"/>
          <w:lang w:val="en-US" w:eastAsia="zh-CN" w:bidi="ar"/>
        </w:rPr>
        <w:sectPr>
          <w:pgSz w:w="11906" w:h="16838"/>
          <w:pgMar w:top="1440" w:right="1800" w:bottom="1440" w:left="1800" w:header="850" w:footer="1020" w:gutter="0"/>
          <w:pgBorders w:offsetFrom="page">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eastAsia="宋体" w:cs="宋体"/>
          <w:color w:val="000000"/>
          <w:kern w:val="0"/>
          <w:sz w:val="24"/>
          <w:szCs w:val="24"/>
          <w:lang w:val="en-US" w:eastAsia="zh-CN" w:bidi="ar"/>
        </w:rPr>
        <w:t>2020年6月8日</w:t>
      </w:r>
    </w:p>
    <w:p w14:paraId="2F6AAA27">
      <w:pPr>
        <w:keepNext w:val="0"/>
        <w:keepLines w:val="0"/>
        <w:widowControl/>
        <w:suppressLineNumbers w:val="0"/>
        <w:jc w:val="center"/>
        <w:rPr>
          <w:rFonts w:hint="eastAsia" w:ascii="宋体" w:hAnsi="宋体" w:eastAsia="宋体" w:cs="宋体"/>
        </w:rPr>
      </w:pPr>
      <w:r>
        <w:rPr>
          <w:rFonts w:hint="eastAsia" w:ascii="宋体" w:hAnsi="宋体" w:eastAsia="宋体" w:cs="宋体"/>
          <w:b/>
          <w:bCs/>
          <w:color w:val="000000"/>
          <w:kern w:val="0"/>
          <w:sz w:val="24"/>
          <w:szCs w:val="24"/>
          <w:lang w:val="en-US" w:eastAsia="zh-CN" w:bidi="ar"/>
        </w:rPr>
        <w:t>表5.2-1  本项目环评批复落实情况表</w:t>
      </w:r>
    </w:p>
    <w:tbl>
      <w:tblPr>
        <w:tblStyle w:val="1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3615"/>
        <w:gridCol w:w="3522"/>
        <w:gridCol w:w="727"/>
      </w:tblGrid>
      <w:tr w14:paraId="43EC2A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6" w:type="pct"/>
            <w:tcBorders>
              <w:tl2br w:val="nil"/>
              <w:tr2bl w:val="nil"/>
            </w:tcBorders>
            <w:noWrap w:val="0"/>
            <w:vAlign w:val="center"/>
          </w:tcPr>
          <w:p w14:paraId="67D31C21">
            <w:pPr>
              <w:pStyle w:val="34"/>
              <w:keepNext w:val="0"/>
              <w:keepLines w:val="0"/>
              <w:pageBreakBefore w:val="0"/>
              <w:kinsoku/>
              <w:wordWrap/>
              <w:overflowPunct/>
              <w:topLinePunct w:val="0"/>
              <w:autoSpaceDE/>
              <w:autoSpaceDN/>
              <w:bidi w:val="0"/>
              <w:snapToGrid w:val="0"/>
              <w:spacing w:before="0" w:after="0" w:line="240" w:lineRule="auto"/>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序号</w:t>
            </w:r>
          </w:p>
        </w:tc>
        <w:tc>
          <w:tcPr>
            <w:tcW w:w="2120" w:type="pct"/>
            <w:tcBorders>
              <w:tl2br w:val="nil"/>
              <w:tr2bl w:val="nil"/>
            </w:tcBorders>
            <w:noWrap w:val="0"/>
            <w:vAlign w:val="center"/>
          </w:tcPr>
          <w:p w14:paraId="6C0EDD3E">
            <w:pPr>
              <w:pStyle w:val="34"/>
              <w:keepNext w:val="0"/>
              <w:keepLines w:val="0"/>
              <w:pageBreakBefore w:val="0"/>
              <w:kinsoku/>
              <w:wordWrap/>
              <w:overflowPunct/>
              <w:topLinePunct w:val="0"/>
              <w:autoSpaceDE/>
              <w:autoSpaceDN/>
              <w:bidi w:val="0"/>
              <w:snapToGrid w:val="0"/>
              <w:spacing w:before="0" w:after="0" w:line="240" w:lineRule="auto"/>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项目环评内容</w:t>
            </w:r>
          </w:p>
        </w:tc>
        <w:tc>
          <w:tcPr>
            <w:tcW w:w="2065" w:type="pct"/>
            <w:tcBorders>
              <w:tl2br w:val="nil"/>
              <w:tr2bl w:val="nil"/>
            </w:tcBorders>
            <w:noWrap w:val="0"/>
            <w:vAlign w:val="center"/>
          </w:tcPr>
          <w:p w14:paraId="702AB098">
            <w:pPr>
              <w:pStyle w:val="34"/>
              <w:keepNext w:val="0"/>
              <w:keepLines w:val="0"/>
              <w:pageBreakBefore w:val="0"/>
              <w:kinsoku/>
              <w:wordWrap/>
              <w:overflowPunct/>
              <w:topLinePunct w:val="0"/>
              <w:autoSpaceDE/>
              <w:autoSpaceDN/>
              <w:bidi w:val="0"/>
              <w:snapToGrid w:val="0"/>
              <w:spacing w:before="0" w:after="0" w:line="240" w:lineRule="auto"/>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项目实际建设内容</w:t>
            </w:r>
          </w:p>
        </w:tc>
        <w:tc>
          <w:tcPr>
            <w:tcW w:w="426" w:type="pct"/>
            <w:tcBorders>
              <w:tl2br w:val="nil"/>
              <w:tr2bl w:val="nil"/>
            </w:tcBorders>
            <w:noWrap w:val="0"/>
            <w:vAlign w:val="center"/>
          </w:tcPr>
          <w:p w14:paraId="13B7AC4D">
            <w:pPr>
              <w:pStyle w:val="34"/>
              <w:keepNext w:val="0"/>
              <w:keepLines w:val="0"/>
              <w:pageBreakBefore w:val="0"/>
              <w:kinsoku/>
              <w:wordWrap/>
              <w:overflowPunct/>
              <w:topLinePunct w:val="0"/>
              <w:autoSpaceDE/>
              <w:autoSpaceDN/>
              <w:bidi w:val="0"/>
              <w:snapToGrid w:val="0"/>
              <w:spacing w:before="0" w:after="0" w:line="240" w:lineRule="auto"/>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落实情况</w:t>
            </w:r>
          </w:p>
        </w:tc>
      </w:tr>
      <w:tr w14:paraId="063D43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6" w:type="pct"/>
            <w:tcBorders>
              <w:tl2br w:val="nil"/>
              <w:tr2bl w:val="nil"/>
            </w:tcBorders>
            <w:shd w:val="clear" w:color="auto" w:fill="auto"/>
            <w:noWrap w:val="0"/>
            <w:vAlign w:val="center"/>
          </w:tcPr>
          <w:p w14:paraId="00AAC6EC">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sz w:val="21"/>
                <w:szCs w:val="21"/>
              </w:rPr>
              <w:t>1</w:t>
            </w:r>
          </w:p>
        </w:tc>
        <w:tc>
          <w:tcPr>
            <w:tcW w:w="2120" w:type="pct"/>
            <w:tcBorders>
              <w:tl2br w:val="nil"/>
              <w:tr2bl w:val="nil"/>
            </w:tcBorders>
            <w:noWrap w:val="0"/>
            <w:vAlign w:val="center"/>
          </w:tcPr>
          <w:p w14:paraId="4A9DC229">
            <w:pPr>
              <w:pStyle w:val="34"/>
              <w:keepNext w:val="0"/>
              <w:keepLines w:val="0"/>
              <w:pageBreakBefore w:val="0"/>
              <w:kinsoku/>
              <w:wordWrap/>
              <w:overflowPunct/>
              <w:topLinePunct w:val="0"/>
              <w:autoSpaceDE/>
              <w:autoSpaceDN/>
              <w:bidi w:val="0"/>
              <w:snapToGrid w:val="0"/>
              <w:spacing w:before="0" w:after="0" w:line="240" w:lineRule="auto"/>
              <w:jc w:val="both"/>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val="en-US" w:eastAsia="zh-CN"/>
              </w:rPr>
              <w:t>全过程贯彻清洁生产原则和循环经济理念，加强生产管理和环境管理，采用国家鼓励的密闭化技术和设备、污染防治措施，减少污染物排放。</w:t>
            </w:r>
          </w:p>
        </w:tc>
        <w:tc>
          <w:tcPr>
            <w:tcW w:w="2065" w:type="pct"/>
            <w:tcBorders>
              <w:tl2br w:val="nil"/>
              <w:tr2bl w:val="nil"/>
            </w:tcBorders>
            <w:noWrap w:val="0"/>
            <w:vAlign w:val="center"/>
          </w:tcPr>
          <w:p w14:paraId="6A0DF624">
            <w:pPr>
              <w:pStyle w:val="34"/>
              <w:keepNext w:val="0"/>
              <w:keepLines w:val="0"/>
              <w:pageBreakBefore w:val="0"/>
              <w:kinsoku/>
              <w:wordWrap/>
              <w:overflowPunct/>
              <w:topLinePunct w:val="0"/>
              <w:autoSpaceDE/>
              <w:autoSpaceDN/>
              <w:bidi w:val="0"/>
              <w:snapToGrid w:val="0"/>
              <w:spacing w:before="0" w:after="0" w:line="240" w:lineRule="auto"/>
              <w:jc w:val="both"/>
              <w:textAlignment w:val="auto"/>
              <w:rPr>
                <w:rFonts w:hint="default" w:ascii="宋体" w:hAnsi="宋体" w:eastAsia="宋体" w:cs="宋体"/>
                <w:b w:val="0"/>
                <w:bCs w:val="0"/>
                <w:color w:val="000000"/>
                <w:sz w:val="21"/>
                <w:szCs w:val="21"/>
                <w:lang w:val="en-US" w:eastAsia="zh-CN"/>
              </w:rPr>
            </w:pPr>
            <w:r>
              <w:rPr>
                <w:rFonts w:hint="eastAsia" w:hAnsi="宋体" w:cs="宋体"/>
                <w:b w:val="0"/>
                <w:bCs w:val="0"/>
                <w:color w:val="000000"/>
                <w:sz w:val="21"/>
                <w:szCs w:val="21"/>
                <w:lang w:val="en-US" w:eastAsia="zh-CN"/>
              </w:rPr>
              <w:t>已按照</w:t>
            </w:r>
            <w:r>
              <w:rPr>
                <w:rFonts w:hint="eastAsia" w:ascii="宋体" w:hAnsi="宋体" w:eastAsia="宋体" w:cs="宋体"/>
                <w:b w:val="0"/>
                <w:bCs w:val="0"/>
                <w:color w:val="000000"/>
                <w:sz w:val="21"/>
                <w:szCs w:val="21"/>
                <w:lang w:val="en-US" w:eastAsia="zh-CN"/>
              </w:rPr>
              <w:t>清洁生产原则和循环经济理念，加强生产管理和环境管理，采用国家鼓励的密闭化技术和设备、污染防治措施，减少污染物排放。</w:t>
            </w:r>
          </w:p>
        </w:tc>
        <w:tc>
          <w:tcPr>
            <w:tcW w:w="426" w:type="pct"/>
            <w:tcBorders>
              <w:tl2br w:val="nil"/>
              <w:tr2bl w:val="nil"/>
            </w:tcBorders>
            <w:noWrap w:val="0"/>
            <w:vAlign w:val="center"/>
          </w:tcPr>
          <w:p w14:paraId="1654FC8A">
            <w:pPr>
              <w:keepNext w:val="0"/>
              <w:keepLines w:val="0"/>
              <w:pageBreakBefore w:val="0"/>
              <w:kinsoku/>
              <w:wordWrap/>
              <w:overflowPunct/>
              <w:topLinePunct w:val="0"/>
              <w:autoSpaceDE/>
              <w:autoSpaceDN/>
              <w:bidi w:val="0"/>
              <w:snapToGrid w:val="0"/>
              <w:spacing w:before="0" w:after="0" w:line="240" w:lineRule="auto"/>
              <w:jc w:val="center"/>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落实</w:t>
            </w:r>
          </w:p>
        </w:tc>
      </w:tr>
      <w:tr w14:paraId="038685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386" w:type="pct"/>
            <w:tcBorders>
              <w:tl2br w:val="nil"/>
              <w:tr2bl w:val="nil"/>
            </w:tcBorders>
            <w:shd w:val="clear" w:color="auto" w:fill="auto"/>
            <w:noWrap w:val="0"/>
            <w:vAlign w:val="center"/>
          </w:tcPr>
          <w:p w14:paraId="61BB6C68">
            <w:pPr>
              <w:pStyle w:val="34"/>
              <w:keepNext w:val="0"/>
              <w:keepLines w:val="0"/>
              <w:pageBreakBefore w:val="0"/>
              <w:kinsoku/>
              <w:wordWrap/>
              <w:overflowPunct/>
              <w:topLinePunct w:val="0"/>
              <w:autoSpaceDE/>
              <w:autoSpaceDN/>
              <w:bidi w:val="0"/>
              <w:snapToGrid w:val="0"/>
              <w:spacing w:before="0" w:after="0" w:line="240" w:lineRule="auto"/>
              <w:textAlignment w:val="auto"/>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sz w:val="21"/>
                <w:szCs w:val="21"/>
              </w:rPr>
              <w:t>2</w:t>
            </w:r>
          </w:p>
        </w:tc>
        <w:tc>
          <w:tcPr>
            <w:tcW w:w="2120" w:type="pct"/>
            <w:tcBorders>
              <w:tl2br w:val="nil"/>
              <w:tr2bl w:val="nil"/>
            </w:tcBorders>
            <w:noWrap w:val="0"/>
            <w:vAlign w:val="center"/>
          </w:tcPr>
          <w:p w14:paraId="39AC35D9">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val="en-US" w:eastAsia="zh-CN"/>
              </w:rPr>
              <w:t>强化大气污染防治工作。落实《报告书》中提出的大气污染防治措施。粗格栅及进水泵房、细格栅及曝气沉砂池、污泥浓缩脱水机房产生的恶臭经“密闭收集+生物滤池除臭装置”处理后，通过排气筒排放，执行《恶臭污染物排放标准》（GB14554-93）中相应标准要求。按标准要求规范设置各类排气筒。落实《报告书》中提出的无组织废气防治措施的要求，满足《城镇污水处理厂污染物排放标准》（GB 18918-2002）中相应厂界浓度限值的要求。</w:t>
            </w:r>
          </w:p>
        </w:tc>
        <w:tc>
          <w:tcPr>
            <w:tcW w:w="2065" w:type="pct"/>
            <w:tcBorders>
              <w:tl2br w:val="nil"/>
              <w:tr2bl w:val="nil"/>
            </w:tcBorders>
            <w:noWrap w:val="0"/>
            <w:vAlign w:val="center"/>
          </w:tcPr>
          <w:p w14:paraId="4DB53A27">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已</w:t>
            </w:r>
            <w:r>
              <w:rPr>
                <w:rFonts w:hint="eastAsia" w:ascii="宋体" w:hAnsi="宋体" w:eastAsia="宋体" w:cs="宋体"/>
                <w:b w:val="0"/>
                <w:bCs w:val="0"/>
                <w:color w:val="000000"/>
                <w:sz w:val="21"/>
                <w:szCs w:val="21"/>
                <w:lang w:val="en-US" w:eastAsia="zh-CN"/>
              </w:rPr>
              <w:t>强化大气污染防治工作。项目粗格栅及进水泵房、细格栅及曝气沉砂池、污泥浓缩脱水机房产生的恶臭经“密闭收集+生物滤池除臭装置”处理后，通过排气筒排放，执行《恶臭污染物排放标准》（GB14554-93）中相应标准要求。按标准要求规范设置各类排气筒。落实《报告书》中提出的无组织废气防治措施的要求，满足《城镇污水处理厂污染物排放标准》（GB 18918-2002）中相应厂界浓度限值的要求。</w:t>
            </w:r>
          </w:p>
        </w:tc>
        <w:tc>
          <w:tcPr>
            <w:tcW w:w="426" w:type="pct"/>
            <w:tcBorders>
              <w:tl2br w:val="nil"/>
              <w:tr2bl w:val="nil"/>
            </w:tcBorders>
            <w:noWrap w:val="0"/>
            <w:vAlign w:val="center"/>
          </w:tcPr>
          <w:p w14:paraId="584CE721">
            <w:pPr>
              <w:keepNext w:val="0"/>
              <w:keepLines w:val="0"/>
              <w:pageBreakBefore w:val="0"/>
              <w:widowControl/>
              <w:kinsoku/>
              <w:wordWrap/>
              <w:overflowPunct/>
              <w:topLinePunct w:val="0"/>
              <w:autoSpaceDE/>
              <w:autoSpaceDN/>
              <w:bidi w:val="0"/>
              <w:adjustRightInd/>
              <w:snapToGrid w:val="0"/>
              <w:spacing w:before="0" w:after="0" w:line="240" w:lineRule="auto"/>
              <w:jc w:val="center"/>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落实</w:t>
            </w:r>
          </w:p>
        </w:tc>
      </w:tr>
      <w:tr w14:paraId="2AA26C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86" w:type="pct"/>
            <w:tcBorders>
              <w:tl2br w:val="nil"/>
              <w:tr2bl w:val="nil"/>
            </w:tcBorders>
            <w:shd w:val="clear" w:color="auto" w:fill="auto"/>
            <w:noWrap w:val="0"/>
            <w:vAlign w:val="center"/>
          </w:tcPr>
          <w:p w14:paraId="27E351CB">
            <w:pPr>
              <w:pStyle w:val="34"/>
              <w:keepNext w:val="0"/>
              <w:keepLines w:val="0"/>
              <w:pageBreakBefore w:val="0"/>
              <w:kinsoku/>
              <w:wordWrap/>
              <w:overflowPunct/>
              <w:topLinePunct w:val="0"/>
              <w:autoSpaceDE/>
              <w:autoSpaceDN/>
              <w:bidi w:val="0"/>
              <w:snapToGrid w:val="0"/>
              <w:spacing w:before="0" w:after="0" w:line="240" w:lineRule="auto"/>
              <w:textAlignment w:val="auto"/>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sz w:val="21"/>
                <w:szCs w:val="21"/>
              </w:rPr>
              <w:t>3</w:t>
            </w:r>
          </w:p>
        </w:tc>
        <w:tc>
          <w:tcPr>
            <w:tcW w:w="2120" w:type="pct"/>
            <w:tcBorders>
              <w:tl2br w:val="nil"/>
              <w:tr2bl w:val="nil"/>
            </w:tcBorders>
            <w:noWrap w:val="0"/>
            <w:vAlign w:val="center"/>
          </w:tcPr>
          <w:p w14:paraId="5397C9A9">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强化水污染防治工作。加快建设配套污水管网工程，做好进水水质管控工作。落实《报告书》中提出的水污染防治措施。本项目采取“粗格栅+进水泵房+细格栅+曝气沉砂池+水解酸化池+改良AAO氧化沟+二沉池+高效沉淀池+反硝化深床滤池+次氯酸钠消毒”处理工艺，尾水外排至双桥河，出水水质执行《城镇污水处理厂污染物排放标准》（GB 18918-2002）中的一级A标准。按照“分区防渗”原则，全面落实《报告书》提出的防渗要求。各区域防渗系数应达到相应要求，防止污染土壤和地下水。</w:t>
            </w:r>
          </w:p>
        </w:tc>
        <w:tc>
          <w:tcPr>
            <w:tcW w:w="2065" w:type="pct"/>
            <w:tcBorders>
              <w:tl2br w:val="nil"/>
              <w:tr2bl w:val="nil"/>
            </w:tcBorders>
            <w:noWrap w:val="0"/>
            <w:vAlign w:val="center"/>
          </w:tcPr>
          <w:p w14:paraId="3E1BBCF2">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宋体" w:hAnsi="宋体" w:eastAsia="宋体" w:cs="宋体"/>
                <w:b w:val="0"/>
                <w:bCs w:val="0"/>
                <w:iCs/>
                <w:color w:val="000000"/>
                <w:kern w:val="2"/>
                <w:sz w:val="21"/>
                <w:szCs w:val="21"/>
                <w:lang w:val="en-US" w:eastAsia="zh-CN" w:bidi="ar-SA"/>
              </w:rPr>
            </w:pPr>
            <w:r>
              <w:rPr>
                <w:rFonts w:hint="eastAsia" w:ascii="宋体" w:hAnsi="宋体" w:eastAsia="宋体" w:cs="宋体"/>
                <w:b w:val="0"/>
                <w:bCs w:val="0"/>
                <w:iCs/>
                <w:color w:val="000000"/>
                <w:kern w:val="2"/>
                <w:sz w:val="21"/>
                <w:szCs w:val="21"/>
                <w:lang w:val="en-US" w:eastAsia="zh-CN" w:bidi="ar-SA"/>
              </w:rPr>
              <w:t>已</w:t>
            </w:r>
            <w:r>
              <w:rPr>
                <w:rFonts w:hint="eastAsia" w:ascii="宋体" w:hAnsi="宋体" w:eastAsia="宋体" w:cs="宋体"/>
                <w:b w:val="0"/>
                <w:bCs w:val="0"/>
                <w:color w:val="000000"/>
                <w:sz w:val="21"/>
                <w:szCs w:val="21"/>
                <w:lang w:val="en-US" w:eastAsia="zh-CN"/>
              </w:rPr>
              <w:t>强化水污染防治工作。加快建设配套污水管网工程，做好进水水质管控工作。落实《报告书》中提出的水污染防治措施。本项目采取“粗格栅+进水泵房+细格栅+曝气沉砂池+水解酸化池+改良AAO氧化沟+二沉池+高效沉淀池+反硝化深床滤池+次氯酸钠消毒”处理工艺，尾水外排至双桥河，出水水质执行《城镇污水处理厂污染物排放标准》（GB 18918-2002）中的一级A标准。按照“分区防渗”原则，全面落实《报告书》提出的防渗要求。各区域防渗系数应达到相应要求，防止污染土壤和地下水。</w:t>
            </w:r>
          </w:p>
        </w:tc>
        <w:tc>
          <w:tcPr>
            <w:tcW w:w="426" w:type="pct"/>
            <w:tcBorders>
              <w:tl2br w:val="nil"/>
              <w:tr2bl w:val="nil"/>
            </w:tcBorders>
            <w:noWrap w:val="0"/>
            <w:vAlign w:val="center"/>
          </w:tcPr>
          <w:p w14:paraId="25A72CC9">
            <w:pPr>
              <w:keepNext w:val="0"/>
              <w:keepLines w:val="0"/>
              <w:pageBreakBefore w:val="0"/>
              <w:kinsoku/>
              <w:wordWrap/>
              <w:overflowPunct/>
              <w:topLinePunct w:val="0"/>
              <w:autoSpaceDE/>
              <w:autoSpaceDN/>
              <w:bidi w:val="0"/>
              <w:snapToGrid w:val="0"/>
              <w:spacing w:before="0" w:after="0" w:line="240" w:lineRule="auto"/>
              <w:jc w:val="center"/>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落实</w:t>
            </w:r>
          </w:p>
        </w:tc>
      </w:tr>
      <w:tr w14:paraId="38A922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86" w:type="pct"/>
            <w:tcBorders>
              <w:tl2br w:val="nil"/>
              <w:tr2bl w:val="nil"/>
            </w:tcBorders>
            <w:shd w:val="clear" w:color="auto" w:fill="auto"/>
            <w:noWrap w:val="0"/>
            <w:vAlign w:val="center"/>
          </w:tcPr>
          <w:p w14:paraId="13AB2059">
            <w:pPr>
              <w:pStyle w:val="34"/>
              <w:keepNext w:val="0"/>
              <w:keepLines w:val="0"/>
              <w:pageBreakBefore w:val="0"/>
              <w:kinsoku/>
              <w:wordWrap/>
              <w:overflowPunct/>
              <w:topLinePunct w:val="0"/>
              <w:autoSpaceDE/>
              <w:autoSpaceDN/>
              <w:bidi w:val="0"/>
              <w:snapToGrid w:val="0"/>
              <w:spacing w:before="0" w:after="0" w:line="240" w:lineRule="auto"/>
              <w:textAlignment w:val="auto"/>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sz w:val="21"/>
                <w:szCs w:val="21"/>
              </w:rPr>
              <w:t>4</w:t>
            </w:r>
          </w:p>
        </w:tc>
        <w:tc>
          <w:tcPr>
            <w:tcW w:w="2120" w:type="pct"/>
            <w:tcBorders>
              <w:tl2br w:val="nil"/>
              <w:tr2bl w:val="nil"/>
            </w:tcBorders>
            <w:noWrap w:val="0"/>
            <w:vAlign w:val="center"/>
          </w:tcPr>
          <w:p w14:paraId="27649F8C">
            <w:pPr>
              <w:pStyle w:val="34"/>
              <w:keepNext w:val="0"/>
              <w:keepLines w:val="0"/>
              <w:pageBreakBefore w:val="0"/>
              <w:kinsoku/>
              <w:wordWrap/>
              <w:overflowPunct/>
              <w:topLinePunct w:val="0"/>
              <w:autoSpaceDE/>
              <w:autoSpaceDN/>
              <w:bidi w:val="0"/>
              <w:adjustRightInd w:val="0"/>
              <w:snapToGrid w:val="0"/>
              <w:spacing w:before="0" w:after="0" w:line="240" w:lineRule="auto"/>
              <w:jc w:val="both"/>
              <w:textAlignment w:val="auto"/>
              <w:rPr>
                <w:rFonts w:hint="eastAsia" w:ascii="宋体" w:hAnsi="宋体" w:eastAsia="宋体" w:cs="宋体"/>
                <w:b w:val="0"/>
                <w:bCs w:val="0"/>
                <w:color w:val="000000"/>
                <w:sz w:val="21"/>
                <w:szCs w:val="21"/>
                <w:lang w:val="zh-CN" w:eastAsia="zh-CN"/>
              </w:rPr>
            </w:pPr>
            <w:r>
              <w:rPr>
                <w:rFonts w:hint="eastAsia" w:ascii="宋体" w:hAnsi="宋体" w:eastAsia="宋体" w:cs="宋体"/>
                <w:b w:val="0"/>
                <w:bCs w:val="0"/>
                <w:color w:val="000000"/>
                <w:sz w:val="21"/>
                <w:szCs w:val="21"/>
                <w:lang w:val="en-US" w:eastAsia="zh-CN"/>
              </w:rPr>
              <w:t>严格落实固体废物分类处置，强化危险废物全过程管理。建立固体废物</w:t>
            </w:r>
            <w:r>
              <w:rPr>
                <w:rFonts w:hint="eastAsia" w:hAnsi="宋体" w:cs="宋体"/>
                <w:b w:val="0"/>
                <w:bCs w:val="0"/>
                <w:color w:val="000000"/>
                <w:sz w:val="21"/>
                <w:szCs w:val="21"/>
                <w:lang w:val="en-US" w:eastAsia="zh-CN"/>
              </w:rPr>
              <w:t>管理台账</w:t>
            </w:r>
            <w:r>
              <w:rPr>
                <w:rFonts w:hint="eastAsia" w:ascii="宋体" w:hAnsi="宋体" w:eastAsia="宋体" w:cs="宋体"/>
                <w:b w:val="0"/>
                <w:bCs w:val="0"/>
                <w:color w:val="000000"/>
                <w:sz w:val="21"/>
                <w:szCs w:val="21"/>
                <w:lang w:val="en-US" w:eastAsia="zh-CN"/>
              </w:rPr>
              <w:t>，如实记录固体废物产生种类、数量、时间以及利用、处置和贮存情况。按固废“资源化、减量化、无害化”处理处置原则，落实《报告书》中提出的各类固废的收集、处理处置和综合利用措施，防止发生二次污染。危险废物必须委托有资质的单位安全处置，同时，执行危废处置转移联单管理制度。厂内危废暂存场所须符合《危险废物贮存污染控制标准》（GB18597-2001）及修改单的规定要求，设置危险废物识别标志，并做好防风、防雨、防晒、防流失、防渗漏等工作。</w:t>
            </w:r>
            <w:r>
              <w:rPr>
                <w:rFonts w:hint="eastAsia" w:hAnsi="宋体" w:cs="宋体"/>
                <w:b w:val="0"/>
                <w:bCs w:val="0"/>
                <w:color w:val="000000"/>
                <w:sz w:val="21"/>
                <w:szCs w:val="21"/>
                <w:lang w:val="en-US" w:eastAsia="zh-CN"/>
              </w:rPr>
              <w:t>其他</w:t>
            </w:r>
            <w:r>
              <w:rPr>
                <w:rFonts w:hint="eastAsia" w:ascii="宋体" w:hAnsi="宋体" w:eastAsia="宋体" w:cs="宋体"/>
                <w:b w:val="0"/>
                <w:bCs w:val="0"/>
                <w:color w:val="000000"/>
                <w:sz w:val="21"/>
                <w:szCs w:val="21"/>
                <w:lang w:val="en-US" w:eastAsia="zh-CN"/>
              </w:rPr>
              <w:t>一般固废暂存场所应符合《一般工业固体废物贮存、处置场污染控制标准》（GB18599-2001）及修改单的规定要求。对不明确是否具有危险特性的固体废物（污泥），应严格按照有关规定和规范予以鉴别、认定。在固废属性尚未鉴别、认定前，须参照危险废物管理。</w:t>
            </w:r>
          </w:p>
        </w:tc>
        <w:tc>
          <w:tcPr>
            <w:tcW w:w="2065" w:type="pct"/>
            <w:tcBorders>
              <w:tl2br w:val="nil"/>
              <w:tr2bl w:val="nil"/>
            </w:tcBorders>
            <w:noWrap w:val="0"/>
            <w:vAlign w:val="center"/>
          </w:tcPr>
          <w:p w14:paraId="7CBC0CE0">
            <w:pPr>
              <w:pStyle w:val="34"/>
              <w:keepNext w:val="0"/>
              <w:keepLines w:val="0"/>
              <w:pageBreakBefore w:val="0"/>
              <w:kinsoku/>
              <w:wordWrap/>
              <w:overflowPunct/>
              <w:topLinePunct w:val="0"/>
              <w:autoSpaceDE/>
              <w:autoSpaceDN/>
              <w:bidi w:val="0"/>
              <w:adjustRightInd w:val="0"/>
              <w:snapToGrid w:val="0"/>
              <w:spacing w:before="0" w:after="0" w:line="240" w:lineRule="auto"/>
              <w:jc w:val="both"/>
              <w:textAlignment w:val="auto"/>
              <w:rPr>
                <w:rFonts w:hint="eastAsia" w:ascii="宋体" w:hAnsi="宋体" w:eastAsia="宋体" w:cs="宋体"/>
                <w:b w:val="0"/>
                <w:bCs w:val="0"/>
                <w:color w:val="000000"/>
                <w:kern w:val="2"/>
                <w:sz w:val="21"/>
                <w:szCs w:val="21"/>
                <w:lang w:val="zh-CN" w:eastAsia="zh-CN" w:bidi="ar-SA"/>
              </w:rPr>
            </w:pPr>
            <w:r>
              <w:rPr>
                <w:rFonts w:hint="eastAsia" w:ascii="宋体" w:hAnsi="宋体" w:eastAsia="宋体" w:cs="宋体"/>
                <w:b w:val="0"/>
                <w:bCs w:val="0"/>
                <w:color w:val="000000"/>
                <w:sz w:val="21"/>
                <w:szCs w:val="21"/>
                <w:lang w:val="en-US" w:eastAsia="zh-CN"/>
              </w:rPr>
              <w:t>严格落实固体废物分类处置，强化危险废物全过程管理。建立固体废物</w:t>
            </w:r>
            <w:r>
              <w:rPr>
                <w:rFonts w:hint="eastAsia" w:hAnsi="宋体" w:cs="宋体"/>
                <w:b w:val="0"/>
                <w:bCs w:val="0"/>
                <w:color w:val="000000"/>
                <w:sz w:val="21"/>
                <w:szCs w:val="21"/>
                <w:lang w:val="en-US" w:eastAsia="zh-CN"/>
              </w:rPr>
              <w:t>管理台账</w:t>
            </w:r>
            <w:r>
              <w:rPr>
                <w:rFonts w:hint="eastAsia" w:ascii="宋体" w:hAnsi="宋体" w:eastAsia="宋体" w:cs="宋体"/>
                <w:b w:val="0"/>
                <w:bCs w:val="0"/>
                <w:color w:val="000000"/>
                <w:sz w:val="21"/>
                <w:szCs w:val="21"/>
                <w:lang w:val="en-US" w:eastAsia="zh-CN"/>
              </w:rPr>
              <w:t>，如实记录固体废物产生种类、数量、时间以及利用、处置和贮存情况。按固废“资源化、减量化、无害化”处理处置原则，落实《报告书》中提出的各类固废的收集、处理处置和综合利用措施，防止发生二次污染。危险废物必须委托有资质的单位安全处置，同时，执行危废处置转移联单管理制度。厂内危废暂存场所须符合《危险废物贮存污染控制标准》（</w:t>
            </w:r>
            <w:r>
              <w:rPr>
                <w:rFonts w:hint="eastAsia" w:hAnsi="宋体" w:cs="宋体"/>
                <w:b w:val="0"/>
                <w:bCs w:val="0"/>
                <w:color w:val="000000"/>
                <w:sz w:val="21"/>
                <w:szCs w:val="21"/>
                <w:lang w:val="en-US" w:eastAsia="zh-CN"/>
              </w:rPr>
              <w:t>GB 18597-2023</w:t>
            </w:r>
            <w:r>
              <w:rPr>
                <w:rFonts w:hint="eastAsia" w:ascii="宋体" w:hAnsi="宋体" w:eastAsia="宋体" w:cs="宋体"/>
                <w:b w:val="0"/>
                <w:bCs w:val="0"/>
                <w:color w:val="000000"/>
                <w:sz w:val="21"/>
                <w:szCs w:val="21"/>
                <w:lang w:val="en-US" w:eastAsia="zh-CN"/>
              </w:rPr>
              <w:t>）及修改单的规定要求，设置危险废物识别标志，并做好防风、防雨、防晒、防流失、防渗漏等工作。</w:t>
            </w:r>
            <w:r>
              <w:rPr>
                <w:rFonts w:hint="eastAsia" w:hAnsi="宋体" w:cs="宋体"/>
                <w:b w:val="0"/>
                <w:bCs w:val="0"/>
                <w:color w:val="000000"/>
                <w:sz w:val="21"/>
                <w:szCs w:val="21"/>
                <w:lang w:val="en-US" w:eastAsia="zh-CN"/>
              </w:rPr>
              <w:t>其他</w:t>
            </w:r>
            <w:r>
              <w:rPr>
                <w:rFonts w:hint="eastAsia" w:ascii="宋体" w:hAnsi="宋体" w:eastAsia="宋体" w:cs="宋体"/>
                <w:b w:val="0"/>
                <w:bCs w:val="0"/>
                <w:color w:val="000000"/>
                <w:sz w:val="21"/>
                <w:szCs w:val="21"/>
                <w:lang w:val="en-US" w:eastAsia="zh-CN"/>
              </w:rPr>
              <w:t>一般固废暂存场所应符合《</w:t>
            </w:r>
            <w:r>
              <w:rPr>
                <w:rFonts w:hint="eastAsia" w:hAnsi="宋体" w:cs="宋体"/>
                <w:b w:val="0"/>
                <w:bCs w:val="0"/>
                <w:color w:val="000000"/>
                <w:sz w:val="21"/>
                <w:szCs w:val="21"/>
                <w:lang w:val="en-US" w:eastAsia="zh-CN"/>
              </w:rPr>
              <w:t>一般工业固体废物贮存和填埋污染控制标准</w:t>
            </w:r>
            <w:r>
              <w:rPr>
                <w:rFonts w:hint="eastAsia" w:ascii="宋体" w:hAnsi="宋体" w:eastAsia="宋体" w:cs="宋体"/>
                <w:b w:val="0"/>
                <w:bCs w:val="0"/>
                <w:color w:val="000000"/>
                <w:sz w:val="21"/>
                <w:szCs w:val="21"/>
                <w:lang w:val="en-US" w:eastAsia="zh-CN"/>
              </w:rPr>
              <w:t>》（</w:t>
            </w:r>
            <w:r>
              <w:rPr>
                <w:rFonts w:hint="eastAsia" w:hAnsi="宋体" w:cs="宋体"/>
                <w:b w:val="0"/>
                <w:bCs w:val="0"/>
                <w:color w:val="000000"/>
                <w:sz w:val="21"/>
                <w:szCs w:val="21"/>
                <w:lang w:val="en-US" w:eastAsia="zh-CN"/>
              </w:rPr>
              <w:t>GB 18599-2020</w:t>
            </w:r>
            <w:r>
              <w:rPr>
                <w:rFonts w:hint="eastAsia" w:ascii="宋体" w:hAnsi="宋体" w:eastAsia="宋体" w:cs="宋体"/>
                <w:b w:val="0"/>
                <w:bCs w:val="0"/>
                <w:color w:val="000000"/>
                <w:sz w:val="21"/>
                <w:szCs w:val="21"/>
                <w:lang w:val="en-US" w:eastAsia="zh-CN"/>
              </w:rPr>
              <w:t>）及修改单的规定要求。对不明确是否具有危险特性的固体废物（污泥），应严格按照有关规定和规范予以鉴别、认定。在固废属性尚未鉴别、认定前，须参照危险废物管理。</w:t>
            </w:r>
          </w:p>
        </w:tc>
        <w:tc>
          <w:tcPr>
            <w:tcW w:w="426" w:type="pct"/>
            <w:tcBorders>
              <w:tl2br w:val="nil"/>
              <w:tr2bl w:val="nil"/>
            </w:tcBorders>
            <w:noWrap w:val="0"/>
            <w:vAlign w:val="center"/>
          </w:tcPr>
          <w:p w14:paraId="3A0BFA85">
            <w:pPr>
              <w:keepNext w:val="0"/>
              <w:keepLines w:val="0"/>
              <w:pageBreakBefore w:val="0"/>
              <w:kinsoku/>
              <w:wordWrap/>
              <w:overflowPunct/>
              <w:topLinePunct w:val="0"/>
              <w:autoSpaceDE/>
              <w:autoSpaceDN/>
              <w:bidi w:val="0"/>
              <w:snapToGrid w:val="0"/>
              <w:spacing w:before="0" w:after="0" w:line="240" w:lineRule="auto"/>
              <w:jc w:val="center"/>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落实</w:t>
            </w:r>
          </w:p>
        </w:tc>
      </w:tr>
      <w:tr w14:paraId="6E2866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86" w:type="pct"/>
            <w:tcBorders>
              <w:tl2br w:val="nil"/>
              <w:tr2bl w:val="nil"/>
            </w:tcBorders>
            <w:noWrap w:val="0"/>
            <w:vAlign w:val="center"/>
          </w:tcPr>
          <w:p w14:paraId="2AD7835C">
            <w:pPr>
              <w:pStyle w:val="34"/>
              <w:keepNext w:val="0"/>
              <w:keepLines w:val="0"/>
              <w:pageBreakBefore w:val="0"/>
              <w:kinsoku/>
              <w:wordWrap/>
              <w:overflowPunct/>
              <w:topLinePunct w:val="0"/>
              <w:autoSpaceDE/>
              <w:autoSpaceDN/>
              <w:bidi w:val="0"/>
              <w:snapToGrid w:val="0"/>
              <w:spacing w:before="0" w:after="0" w:line="240" w:lineRule="auto"/>
              <w:textAlignment w:val="auto"/>
              <w:rPr>
                <w:rFonts w:hint="eastAsia" w:ascii="宋体" w:hAnsi="宋体" w:eastAsia="宋体" w:cs="宋体"/>
                <w:b w:val="0"/>
                <w:bCs w:val="0"/>
                <w:color w:val="000000"/>
                <w:sz w:val="21"/>
                <w:szCs w:val="21"/>
                <w:lang w:val="en-US" w:eastAsia="zh-CN"/>
              </w:rPr>
            </w:pPr>
            <w:r>
              <w:rPr>
                <w:rFonts w:hint="eastAsia" w:hAnsi="宋体" w:cs="宋体"/>
                <w:b w:val="0"/>
                <w:bCs w:val="0"/>
                <w:color w:val="000000"/>
                <w:sz w:val="21"/>
                <w:szCs w:val="21"/>
                <w:lang w:val="en-US" w:eastAsia="zh-CN"/>
              </w:rPr>
              <w:t>5</w:t>
            </w:r>
          </w:p>
        </w:tc>
        <w:tc>
          <w:tcPr>
            <w:tcW w:w="2120" w:type="pct"/>
            <w:tcBorders>
              <w:tl2br w:val="nil"/>
              <w:tr2bl w:val="nil"/>
            </w:tcBorders>
            <w:noWrap w:val="0"/>
            <w:vAlign w:val="center"/>
          </w:tcPr>
          <w:p w14:paraId="171698EC">
            <w:pPr>
              <w:pStyle w:val="34"/>
              <w:keepNext w:val="0"/>
              <w:keepLines w:val="0"/>
              <w:pageBreakBefore w:val="0"/>
              <w:kinsoku/>
              <w:wordWrap/>
              <w:overflowPunct/>
              <w:topLinePunct w:val="0"/>
              <w:autoSpaceDE/>
              <w:autoSpaceDN/>
              <w:bidi w:val="0"/>
              <w:snapToGrid w:val="0"/>
              <w:spacing w:before="0" w:after="0" w:line="240" w:lineRule="auto"/>
              <w:jc w:val="both"/>
              <w:textAlignment w:val="auto"/>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lang w:val="en-US" w:eastAsia="zh-CN"/>
              </w:rPr>
              <w:t>厂区要合理布局，主要产噪设备要远离厂界布置，同时选用低噪声设备，对高噪声设备应采取有效减振、隔声、消音等降噪措施，厂界噪声须符合《工业企业厂界环境噪声排放标准》（GB12348-2008）中相应标准的要求。</w:t>
            </w:r>
          </w:p>
        </w:tc>
        <w:tc>
          <w:tcPr>
            <w:tcW w:w="2065" w:type="pct"/>
            <w:tcBorders>
              <w:tl2br w:val="nil"/>
              <w:tr2bl w:val="nil"/>
            </w:tcBorders>
            <w:noWrap w:val="0"/>
            <w:vAlign w:val="center"/>
          </w:tcPr>
          <w:p w14:paraId="460B8A4D">
            <w:pPr>
              <w:keepNext w:val="0"/>
              <w:keepLines w:val="0"/>
              <w:widowControl/>
              <w:suppressLineNumbers w:val="0"/>
              <w:jc w:val="both"/>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kern w:val="2"/>
                <w:sz w:val="21"/>
                <w:szCs w:val="21"/>
                <w:lang w:val="en-US" w:eastAsia="zh-CN" w:bidi="ar-SA"/>
              </w:rPr>
              <w:t>已优选低噪声设备和优化设备布局，高噪声设备远离居民，并采取了屏障隔声等降噪措施，确保厂界噪声达到《工业企业厂界环境噪声排放标准》（</w:t>
            </w:r>
            <w:r>
              <w:rPr>
                <w:rFonts w:hint="default" w:ascii="宋体" w:hAnsi="宋体" w:eastAsia="宋体" w:cs="宋体"/>
                <w:b w:val="0"/>
                <w:bCs w:val="0"/>
                <w:color w:val="000000"/>
                <w:kern w:val="2"/>
                <w:sz w:val="21"/>
                <w:szCs w:val="21"/>
                <w:lang w:val="en-US" w:eastAsia="zh-CN" w:bidi="ar-SA"/>
              </w:rPr>
              <w:t>GB 12348-2008</w:t>
            </w:r>
            <w:r>
              <w:rPr>
                <w:rFonts w:hint="eastAsia" w:ascii="宋体" w:hAnsi="宋体" w:eastAsia="宋体" w:cs="宋体"/>
                <w:b w:val="0"/>
                <w:bCs w:val="0"/>
                <w:color w:val="000000"/>
                <w:kern w:val="2"/>
                <w:sz w:val="21"/>
                <w:szCs w:val="21"/>
                <w:lang w:val="en-US" w:eastAsia="zh-CN" w:bidi="ar-SA"/>
              </w:rPr>
              <w:t>）</w:t>
            </w:r>
            <w:r>
              <w:rPr>
                <w:rFonts w:hint="eastAsia" w:ascii="宋体" w:hAnsi="宋体" w:eastAsia="宋体" w:cs="宋体"/>
                <w:b w:val="0"/>
                <w:bCs w:val="0"/>
                <w:color w:val="000000"/>
                <w:sz w:val="21"/>
                <w:szCs w:val="21"/>
                <w:lang w:val="en-US" w:eastAsia="zh-CN"/>
              </w:rPr>
              <w:t>中相应标准的要求</w:t>
            </w:r>
            <w:r>
              <w:rPr>
                <w:rFonts w:hint="eastAsia" w:ascii="宋体" w:hAnsi="宋体" w:eastAsia="宋体" w:cs="宋体"/>
                <w:b w:val="0"/>
                <w:bCs w:val="0"/>
                <w:color w:val="000000"/>
                <w:kern w:val="2"/>
                <w:sz w:val="21"/>
                <w:szCs w:val="21"/>
                <w:lang w:val="en-US" w:eastAsia="zh-CN" w:bidi="ar-SA"/>
              </w:rPr>
              <w:t>。</w:t>
            </w:r>
          </w:p>
        </w:tc>
        <w:tc>
          <w:tcPr>
            <w:tcW w:w="426" w:type="pct"/>
            <w:tcBorders>
              <w:tl2br w:val="nil"/>
              <w:tr2bl w:val="nil"/>
            </w:tcBorders>
            <w:noWrap w:val="0"/>
            <w:vAlign w:val="center"/>
          </w:tcPr>
          <w:p w14:paraId="44B6EC2D">
            <w:pPr>
              <w:keepNext w:val="0"/>
              <w:keepLines w:val="0"/>
              <w:pageBreakBefore w:val="0"/>
              <w:kinsoku/>
              <w:wordWrap/>
              <w:overflowPunct/>
              <w:topLinePunct w:val="0"/>
              <w:autoSpaceDE/>
              <w:autoSpaceDN/>
              <w:bidi w:val="0"/>
              <w:snapToGrid w:val="0"/>
              <w:spacing w:before="0" w:after="0" w:line="240" w:lineRule="auto"/>
              <w:jc w:val="center"/>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落实</w:t>
            </w:r>
          </w:p>
        </w:tc>
      </w:tr>
      <w:tr w14:paraId="627545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86" w:type="pct"/>
            <w:tcBorders>
              <w:tl2br w:val="nil"/>
              <w:tr2bl w:val="nil"/>
            </w:tcBorders>
            <w:noWrap w:val="0"/>
            <w:vAlign w:val="center"/>
          </w:tcPr>
          <w:p w14:paraId="5BB8CE25">
            <w:pPr>
              <w:pStyle w:val="34"/>
              <w:keepNext w:val="0"/>
              <w:keepLines w:val="0"/>
              <w:pageBreakBefore w:val="0"/>
              <w:kinsoku/>
              <w:wordWrap/>
              <w:overflowPunct/>
              <w:topLinePunct w:val="0"/>
              <w:autoSpaceDE/>
              <w:autoSpaceDN/>
              <w:bidi w:val="0"/>
              <w:snapToGrid w:val="0"/>
              <w:spacing w:before="0" w:after="0" w:line="240" w:lineRule="auto"/>
              <w:textAlignment w:val="auto"/>
              <w:rPr>
                <w:rFonts w:hint="eastAsia" w:ascii="宋体" w:hAnsi="宋体" w:eastAsia="宋体" w:cs="宋体"/>
                <w:b w:val="0"/>
                <w:bCs w:val="0"/>
                <w:color w:val="000000"/>
                <w:sz w:val="21"/>
                <w:szCs w:val="21"/>
                <w:lang w:val="en-US" w:eastAsia="zh-CN"/>
              </w:rPr>
            </w:pPr>
            <w:r>
              <w:rPr>
                <w:rFonts w:hint="eastAsia" w:hAnsi="宋体" w:cs="宋体"/>
                <w:b w:val="0"/>
                <w:bCs w:val="0"/>
                <w:color w:val="000000"/>
                <w:sz w:val="21"/>
                <w:szCs w:val="21"/>
                <w:lang w:val="en-US" w:eastAsia="zh-CN"/>
              </w:rPr>
              <w:t>6</w:t>
            </w:r>
          </w:p>
        </w:tc>
        <w:tc>
          <w:tcPr>
            <w:tcW w:w="2120" w:type="pct"/>
            <w:tcBorders>
              <w:tl2br w:val="nil"/>
              <w:tr2bl w:val="nil"/>
            </w:tcBorders>
            <w:noWrap w:val="0"/>
            <w:vAlign w:val="center"/>
          </w:tcPr>
          <w:p w14:paraId="6EEB83EA">
            <w:pPr>
              <w:pStyle w:val="34"/>
              <w:keepNext w:val="0"/>
              <w:keepLines w:val="0"/>
              <w:pageBreakBefore w:val="0"/>
              <w:kinsoku/>
              <w:wordWrap/>
              <w:overflowPunct/>
              <w:topLinePunct w:val="0"/>
              <w:autoSpaceDE/>
              <w:autoSpaceDN/>
              <w:bidi w:val="0"/>
              <w:snapToGrid w:val="0"/>
              <w:spacing w:before="0" w:after="0" w:line="240" w:lineRule="auto"/>
              <w:jc w:val="both"/>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加强环境风险预防和控制，落实《报告书》提出的风险防范措施，完善突发环境事故应急预案，采取切实可行的工程控制和管理措施，并适时更新升级，有效防范因污染事故排放或安全生产事故可能引发的环境风险。</w:t>
            </w:r>
          </w:p>
        </w:tc>
        <w:tc>
          <w:tcPr>
            <w:tcW w:w="2065" w:type="pct"/>
            <w:tcBorders>
              <w:tl2br w:val="nil"/>
              <w:tr2bl w:val="nil"/>
            </w:tcBorders>
            <w:noWrap w:val="0"/>
            <w:vAlign w:val="center"/>
          </w:tcPr>
          <w:p w14:paraId="5579B895">
            <w:pPr>
              <w:pStyle w:val="34"/>
              <w:keepNext w:val="0"/>
              <w:keepLines w:val="0"/>
              <w:pageBreakBefore w:val="0"/>
              <w:kinsoku/>
              <w:wordWrap/>
              <w:overflowPunct/>
              <w:topLinePunct w:val="0"/>
              <w:autoSpaceDE/>
              <w:autoSpaceDN/>
              <w:bidi w:val="0"/>
              <w:snapToGrid w:val="0"/>
              <w:spacing w:before="0" w:after="0" w:line="240" w:lineRule="auto"/>
              <w:jc w:val="both"/>
              <w:textAlignment w:val="auto"/>
              <w:rPr>
                <w:rFonts w:hint="default" w:ascii="宋体" w:hAnsi="宋体" w:eastAsia="宋体" w:cs="宋体"/>
                <w:b w:val="0"/>
                <w:bCs w:val="0"/>
                <w:color w:val="000000"/>
                <w:sz w:val="21"/>
                <w:szCs w:val="21"/>
                <w:lang w:val="en-US" w:eastAsia="zh-CN"/>
              </w:rPr>
            </w:pPr>
            <w:r>
              <w:rPr>
                <w:rFonts w:hint="eastAsia" w:hAnsi="宋体" w:cs="宋体"/>
                <w:b w:val="0"/>
                <w:bCs w:val="0"/>
                <w:color w:val="000000"/>
                <w:sz w:val="21"/>
                <w:szCs w:val="21"/>
                <w:lang w:val="en-US" w:eastAsia="zh-CN"/>
              </w:rPr>
              <w:t>以加强</w:t>
            </w:r>
            <w:r>
              <w:rPr>
                <w:rFonts w:hint="eastAsia" w:ascii="宋体" w:hAnsi="宋体" w:eastAsia="宋体" w:cs="宋体"/>
                <w:b w:val="0"/>
                <w:bCs w:val="0"/>
                <w:color w:val="000000"/>
                <w:sz w:val="21"/>
                <w:szCs w:val="21"/>
                <w:lang w:val="en-US" w:eastAsia="zh-CN"/>
              </w:rPr>
              <w:t>环境风险预防和控制，落实《报告书》提出的风险防范措施，完善突发环境事故应急预案，采取切实可行的工程控制和管理措施，并适时更新升级，有效防范因污染事故排放或安全生产事故可能引发的环境风险。</w:t>
            </w:r>
            <w:r>
              <w:rPr>
                <w:rFonts w:hint="eastAsia" w:hAnsi="宋体" w:cs="宋体"/>
                <w:b w:val="0"/>
                <w:bCs w:val="0"/>
                <w:color w:val="000000"/>
                <w:sz w:val="21"/>
                <w:szCs w:val="21"/>
                <w:lang w:val="en-US" w:eastAsia="zh-CN"/>
              </w:rPr>
              <w:t>并编制突发环境事件应急预案。</w:t>
            </w:r>
          </w:p>
        </w:tc>
        <w:tc>
          <w:tcPr>
            <w:tcW w:w="426" w:type="pct"/>
            <w:tcBorders>
              <w:tl2br w:val="nil"/>
              <w:tr2bl w:val="nil"/>
            </w:tcBorders>
            <w:noWrap w:val="0"/>
            <w:vAlign w:val="center"/>
          </w:tcPr>
          <w:p w14:paraId="19C53F5A">
            <w:pPr>
              <w:keepNext w:val="0"/>
              <w:keepLines w:val="0"/>
              <w:pageBreakBefore w:val="0"/>
              <w:kinsoku/>
              <w:wordWrap/>
              <w:overflowPunct/>
              <w:topLinePunct w:val="0"/>
              <w:autoSpaceDE/>
              <w:autoSpaceDN/>
              <w:bidi w:val="0"/>
              <w:snapToGrid w:val="0"/>
              <w:spacing w:before="0" w:after="0" w:line="240" w:lineRule="auto"/>
              <w:jc w:val="center"/>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落实</w:t>
            </w:r>
          </w:p>
        </w:tc>
      </w:tr>
      <w:tr w14:paraId="4CF433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86" w:type="pct"/>
            <w:tcBorders>
              <w:tl2br w:val="nil"/>
              <w:tr2bl w:val="nil"/>
            </w:tcBorders>
            <w:noWrap w:val="0"/>
            <w:vAlign w:val="center"/>
          </w:tcPr>
          <w:p w14:paraId="2DD2A289">
            <w:pPr>
              <w:pStyle w:val="34"/>
              <w:keepNext w:val="0"/>
              <w:keepLines w:val="0"/>
              <w:pageBreakBefore w:val="0"/>
              <w:kinsoku/>
              <w:wordWrap/>
              <w:overflowPunct/>
              <w:topLinePunct w:val="0"/>
              <w:autoSpaceDE/>
              <w:autoSpaceDN/>
              <w:bidi w:val="0"/>
              <w:snapToGrid w:val="0"/>
              <w:spacing w:before="0" w:after="0" w:line="240" w:lineRule="auto"/>
              <w:textAlignment w:val="auto"/>
              <w:rPr>
                <w:rFonts w:hint="eastAsia" w:ascii="宋体" w:hAnsi="宋体" w:eastAsia="宋体" w:cs="宋体"/>
                <w:b w:val="0"/>
                <w:bCs w:val="0"/>
                <w:color w:val="000000"/>
                <w:sz w:val="21"/>
                <w:szCs w:val="21"/>
                <w:lang w:val="en-US" w:eastAsia="zh-CN"/>
              </w:rPr>
            </w:pPr>
            <w:r>
              <w:rPr>
                <w:rFonts w:hint="eastAsia" w:hAnsi="宋体" w:cs="宋体"/>
                <w:b w:val="0"/>
                <w:bCs w:val="0"/>
                <w:color w:val="000000"/>
                <w:sz w:val="21"/>
                <w:szCs w:val="21"/>
                <w:lang w:val="en-US" w:eastAsia="zh-CN"/>
              </w:rPr>
              <w:t>7</w:t>
            </w:r>
          </w:p>
        </w:tc>
        <w:tc>
          <w:tcPr>
            <w:tcW w:w="2120" w:type="pct"/>
            <w:tcBorders>
              <w:tl2br w:val="nil"/>
              <w:tr2bl w:val="nil"/>
            </w:tcBorders>
            <w:noWrap w:val="0"/>
            <w:vAlign w:val="center"/>
          </w:tcPr>
          <w:p w14:paraId="0951E5C9">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落实《报告书》所提出的环境防护距离要求。该防护距离内不得规划、建设居民住宅、医院、学校等环境敏感目标。</w:t>
            </w:r>
          </w:p>
          <w:p w14:paraId="6EE5FF37">
            <w:pPr>
              <w:pStyle w:val="34"/>
              <w:keepNext w:val="0"/>
              <w:keepLines w:val="0"/>
              <w:pageBreakBefore w:val="0"/>
              <w:kinsoku/>
              <w:wordWrap/>
              <w:overflowPunct/>
              <w:topLinePunct w:val="0"/>
              <w:autoSpaceDE/>
              <w:autoSpaceDN/>
              <w:bidi w:val="0"/>
              <w:snapToGrid w:val="0"/>
              <w:spacing w:before="0" w:after="0" w:line="240" w:lineRule="auto"/>
              <w:jc w:val="both"/>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环境防护距离内现有的居民点完成搬迁前，本项目不得投入生产运营。</w:t>
            </w:r>
          </w:p>
        </w:tc>
        <w:tc>
          <w:tcPr>
            <w:tcW w:w="2065" w:type="pct"/>
            <w:tcBorders>
              <w:tl2br w:val="nil"/>
              <w:tr2bl w:val="nil"/>
            </w:tcBorders>
            <w:noWrap w:val="0"/>
            <w:vAlign w:val="center"/>
          </w:tcPr>
          <w:p w14:paraId="30ACD0AD">
            <w:pPr>
              <w:pStyle w:val="34"/>
              <w:keepNext w:val="0"/>
              <w:keepLines w:val="0"/>
              <w:pageBreakBefore w:val="0"/>
              <w:kinsoku/>
              <w:wordWrap/>
              <w:overflowPunct/>
              <w:topLinePunct w:val="0"/>
              <w:autoSpaceDE/>
              <w:autoSpaceDN/>
              <w:bidi w:val="0"/>
              <w:snapToGrid w:val="0"/>
              <w:spacing w:before="0" w:after="0" w:line="240" w:lineRule="auto"/>
              <w:jc w:val="both"/>
              <w:textAlignment w:val="auto"/>
              <w:rPr>
                <w:rFonts w:hint="default" w:ascii="宋体" w:hAnsi="宋体" w:eastAsia="宋体" w:cs="宋体"/>
                <w:b w:val="0"/>
                <w:bCs w:val="0"/>
                <w:color w:val="000000"/>
                <w:sz w:val="21"/>
                <w:szCs w:val="21"/>
                <w:lang w:val="en-US" w:eastAsia="zh-CN"/>
              </w:rPr>
            </w:pPr>
            <w:r>
              <w:rPr>
                <w:rFonts w:hint="eastAsia" w:hAnsi="宋体" w:cs="宋体"/>
                <w:b w:val="0"/>
                <w:bCs w:val="0"/>
                <w:color w:val="000000"/>
                <w:sz w:val="21"/>
                <w:szCs w:val="21"/>
                <w:lang w:val="en-US" w:eastAsia="zh-CN"/>
              </w:rPr>
              <w:t>已</w:t>
            </w:r>
            <w:r>
              <w:rPr>
                <w:rFonts w:hint="eastAsia" w:ascii="宋体" w:hAnsi="宋体" w:eastAsia="宋体" w:cs="宋体"/>
                <w:b w:val="0"/>
                <w:bCs w:val="0"/>
                <w:color w:val="000000"/>
                <w:sz w:val="21"/>
                <w:szCs w:val="21"/>
                <w:lang w:val="en-US" w:eastAsia="zh-CN"/>
              </w:rPr>
              <w:t>落实《报告书》所提出的环境防护距离要求。该防护距离内</w:t>
            </w:r>
            <w:r>
              <w:rPr>
                <w:rFonts w:hint="eastAsia" w:hAnsi="宋体" w:cs="宋体"/>
                <w:b w:val="0"/>
                <w:bCs w:val="0"/>
                <w:color w:val="000000"/>
                <w:sz w:val="21"/>
                <w:szCs w:val="21"/>
                <w:lang w:val="en-US" w:eastAsia="zh-CN"/>
              </w:rPr>
              <w:t>无</w:t>
            </w:r>
            <w:r>
              <w:rPr>
                <w:rFonts w:hint="eastAsia" w:ascii="宋体" w:hAnsi="宋体" w:eastAsia="宋体" w:cs="宋体"/>
                <w:b w:val="0"/>
                <w:bCs w:val="0"/>
                <w:color w:val="000000"/>
                <w:sz w:val="21"/>
                <w:szCs w:val="21"/>
                <w:lang w:val="en-US" w:eastAsia="zh-CN"/>
              </w:rPr>
              <w:t>规划、建设居民住宅、医院、学校等环境敏感目标。</w:t>
            </w:r>
            <w:r>
              <w:rPr>
                <w:rFonts w:hint="eastAsia" w:hAnsi="宋体" w:cs="宋体"/>
                <w:b w:val="0"/>
                <w:bCs w:val="0"/>
                <w:color w:val="000000"/>
                <w:sz w:val="21"/>
                <w:szCs w:val="21"/>
                <w:lang w:val="en-US" w:eastAsia="zh-CN"/>
              </w:rPr>
              <w:t>且</w:t>
            </w:r>
            <w:r>
              <w:rPr>
                <w:rFonts w:hint="eastAsia" w:ascii="宋体" w:hAnsi="宋体" w:eastAsia="宋体" w:cs="宋体"/>
                <w:b w:val="0"/>
                <w:bCs w:val="0"/>
                <w:color w:val="000000"/>
                <w:sz w:val="21"/>
                <w:szCs w:val="21"/>
                <w:lang w:val="en-US" w:eastAsia="zh-CN"/>
              </w:rPr>
              <w:t>环境防护距离内现有的居民点完成搬迁前，本项目</w:t>
            </w:r>
            <w:r>
              <w:rPr>
                <w:rFonts w:hint="eastAsia" w:hAnsi="宋体" w:cs="宋体"/>
                <w:b w:val="0"/>
                <w:bCs w:val="0"/>
                <w:color w:val="000000"/>
                <w:sz w:val="21"/>
                <w:szCs w:val="21"/>
                <w:lang w:val="en-US" w:eastAsia="zh-CN"/>
              </w:rPr>
              <w:t>未</w:t>
            </w:r>
            <w:r>
              <w:rPr>
                <w:rFonts w:hint="eastAsia" w:ascii="宋体" w:hAnsi="宋体" w:eastAsia="宋体" w:cs="宋体"/>
                <w:b w:val="0"/>
                <w:bCs w:val="0"/>
                <w:color w:val="000000"/>
                <w:sz w:val="21"/>
                <w:szCs w:val="21"/>
                <w:lang w:val="en-US" w:eastAsia="zh-CN"/>
              </w:rPr>
              <w:t>投入生产运营。</w:t>
            </w:r>
          </w:p>
        </w:tc>
        <w:tc>
          <w:tcPr>
            <w:tcW w:w="426" w:type="pct"/>
            <w:tcBorders>
              <w:tl2br w:val="nil"/>
              <w:tr2bl w:val="nil"/>
            </w:tcBorders>
            <w:noWrap w:val="0"/>
            <w:vAlign w:val="center"/>
          </w:tcPr>
          <w:p w14:paraId="0D014E16">
            <w:pPr>
              <w:keepNext w:val="0"/>
              <w:keepLines w:val="0"/>
              <w:pageBreakBefore w:val="0"/>
              <w:kinsoku/>
              <w:wordWrap/>
              <w:overflowPunct/>
              <w:topLinePunct w:val="0"/>
              <w:autoSpaceDE/>
              <w:autoSpaceDN/>
              <w:bidi w:val="0"/>
              <w:snapToGrid w:val="0"/>
              <w:spacing w:before="0" w:after="0" w:line="240" w:lineRule="auto"/>
              <w:jc w:val="center"/>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落实</w:t>
            </w:r>
          </w:p>
        </w:tc>
      </w:tr>
      <w:tr w14:paraId="4A01E3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86" w:type="pct"/>
            <w:tcBorders>
              <w:tl2br w:val="nil"/>
              <w:tr2bl w:val="nil"/>
            </w:tcBorders>
            <w:noWrap w:val="0"/>
            <w:vAlign w:val="center"/>
          </w:tcPr>
          <w:p w14:paraId="5EA3630B">
            <w:pPr>
              <w:pStyle w:val="34"/>
              <w:keepNext w:val="0"/>
              <w:keepLines w:val="0"/>
              <w:pageBreakBefore w:val="0"/>
              <w:kinsoku/>
              <w:wordWrap/>
              <w:overflowPunct/>
              <w:topLinePunct w:val="0"/>
              <w:autoSpaceDE/>
              <w:autoSpaceDN/>
              <w:bidi w:val="0"/>
              <w:snapToGrid w:val="0"/>
              <w:spacing w:before="0" w:after="0" w:line="240" w:lineRule="auto"/>
              <w:textAlignment w:val="auto"/>
              <w:rPr>
                <w:rFonts w:hint="eastAsia" w:ascii="宋体" w:hAnsi="宋体" w:eastAsia="宋体" w:cs="宋体"/>
                <w:b w:val="0"/>
                <w:bCs w:val="0"/>
                <w:color w:val="000000"/>
                <w:sz w:val="21"/>
                <w:szCs w:val="21"/>
                <w:lang w:val="en-US" w:eastAsia="zh-CN"/>
              </w:rPr>
            </w:pPr>
            <w:r>
              <w:rPr>
                <w:rFonts w:hint="eastAsia" w:hAnsi="宋体" w:cs="宋体"/>
                <w:b w:val="0"/>
                <w:bCs w:val="0"/>
                <w:color w:val="000000"/>
                <w:sz w:val="21"/>
                <w:szCs w:val="21"/>
                <w:lang w:val="en-US" w:eastAsia="zh-CN"/>
              </w:rPr>
              <w:t>8</w:t>
            </w:r>
          </w:p>
        </w:tc>
        <w:tc>
          <w:tcPr>
            <w:tcW w:w="2120" w:type="pct"/>
            <w:tcBorders>
              <w:tl2br w:val="nil"/>
              <w:tr2bl w:val="nil"/>
            </w:tcBorders>
            <w:noWrap w:val="0"/>
            <w:vAlign w:val="center"/>
          </w:tcPr>
          <w:p w14:paraId="14667C85">
            <w:pPr>
              <w:pStyle w:val="34"/>
              <w:keepNext w:val="0"/>
              <w:keepLines w:val="0"/>
              <w:pageBreakBefore w:val="0"/>
              <w:kinsoku/>
              <w:wordWrap/>
              <w:overflowPunct/>
              <w:topLinePunct w:val="0"/>
              <w:autoSpaceDE/>
              <w:autoSpaceDN/>
              <w:bidi w:val="0"/>
              <w:snapToGrid w:val="0"/>
              <w:spacing w:before="0" w:after="0" w:line="240" w:lineRule="auto"/>
              <w:jc w:val="both"/>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按《报告书》等有关要求，规范化设置各类排污口和标志，落实环境管理和监控计划。</w:t>
            </w:r>
          </w:p>
        </w:tc>
        <w:tc>
          <w:tcPr>
            <w:tcW w:w="2065" w:type="pct"/>
            <w:tcBorders>
              <w:tl2br w:val="nil"/>
              <w:tr2bl w:val="nil"/>
            </w:tcBorders>
            <w:noWrap w:val="0"/>
            <w:vAlign w:val="center"/>
          </w:tcPr>
          <w:p w14:paraId="0BF97C5E">
            <w:pPr>
              <w:pStyle w:val="34"/>
              <w:keepNext w:val="0"/>
              <w:keepLines w:val="0"/>
              <w:pageBreakBefore w:val="0"/>
              <w:kinsoku/>
              <w:wordWrap/>
              <w:overflowPunct/>
              <w:topLinePunct w:val="0"/>
              <w:autoSpaceDE/>
              <w:autoSpaceDN/>
              <w:bidi w:val="0"/>
              <w:snapToGrid w:val="0"/>
              <w:spacing w:before="0" w:after="0" w:line="240" w:lineRule="auto"/>
              <w:jc w:val="both"/>
              <w:textAlignment w:val="auto"/>
              <w:rPr>
                <w:rFonts w:hint="eastAsia" w:ascii="宋体" w:hAnsi="宋体" w:eastAsia="宋体" w:cs="宋体"/>
                <w:b w:val="0"/>
                <w:bCs w:val="0"/>
                <w:color w:val="000000"/>
                <w:sz w:val="21"/>
                <w:szCs w:val="21"/>
              </w:rPr>
            </w:pPr>
            <w:r>
              <w:rPr>
                <w:rFonts w:hint="eastAsia" w:hAnsi="宋体" w:cs="宋体"/>
                <w:b w:val="0"/>
                <w:bCs w:val="0"/>
                <w:color w:val="000000"/>
                <w:sz w:val="21"/>
                <w:szCs w:val="21"/>
                <w:lang w:val="en-US" w:eastAsia="zh-CN"/>
              </w:rPr>
              <w:t>已</w:t>
            </w:r>
            <w:r>
              <w:rPr>
                <w:rFonts w:hint="eastAsia" w:ascii="宋体" w:hAnsi="宋体" w:eastAsia="宋体" w:cs="宋体"/>
                <w:b w:val="0"/>
                <w:bCs w:val="0"/>
                <w:color w:val="000000"/>
                <w:sz w:val="21"/>
                <w:szCs w:val="21"/>
                <w:lang w:val="en-US" w:eastAsia="zh-CN"/>
              </w:rPr>
              <w:t>按《报告书》等有关要求，规范化设置各类排污口和标志，落实环境管理和监控计划。</w:t>
            </w:r>
          </w:p>
        </w:tc>
        <w:tc>
          <w:tcPr>
            <w:tcW w:w="426" w:type="pct"/>
            <w:tcBorders>
              <w:tl2br w:val="nil"/>
              <w:tr2bl w:val="nil"/>
            </w:tcBorders>
            <w:noWrap w:val="0"/>
            <w:vAlign w:val="center"/>
          </w:tcPr>
          <w:p w14:paraId="0396737C">
            <w:pPr>
              <w:keepNext w:val="0"/>
              <w:keepLines w:val="0"/>
              <w:pageBreakBefore w:val="0"/>
              <w:kinsoku/>
              <w:wordWrap/>
              <w:overflowPunct/>
              <w:topLinePunct w:val="0"/>
              <w:autoSpaceDE/>
              <w:autoSpaceDN/>
              <w:bidi w:val="0"/>
              <w:snapToGrid w:val="0"/>
              <w:spacing w:before="0" w:after="0" w:line="240" w:lineRule="auto"/>
              <w:jc w:val="center"/>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落实</w:t>
            </w:r>
          </w:p>
        </w:tc>
      </w:tr>
    </w:tbl>
    <w:p w14:paraId="04E9BF1B">
      <w:pP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br w:type="page"/>
      </w:r>
    </w:p>
    <w:p w14:paraId="6F59BEA2">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0"/>
        <w:rPr>
          <w:sz w:val="32"/>
          <w:szCs w:val="32"/>
        </w:rPr>
      </w:pPr>
      <w:bookmarkStart w:id="45" w:name="_Toc25124"/>
      <w:r>
        <w:rPr>
          <w:rFonts w:hint="eastAsia" w:ascii="宋体" w:hAnsi="宋体" w:eastAsia="宋体" w:cs="宋体"/>
          <w:b/>
          <w:bCs/>
          <w:color w:val="000000"/>
          <w:kern w:val="0"/>
          <w:sz w:val="32"/>
          <w:szCs w:val="32"/>
          <w:lang w:val="en-US" w:eastAsia="zh-CN" w:bidi="ar"/>
        </w:rPr>
        <w:t>6</w:t>
      </w:r>
      <w:r>
        <w:rPr>
          <w:rFonts w:hint="eastAsia" w:ascii="宋体" w:hAnsi="宋体" w:eastAsia="宋体" w:cs="宋体"/>
          <w:b/>
          <w:bCs/>
          <w:color w:val="000000"/>
          <w:kern w:val="0"/>
          <w:sz w:val="28"/>
          <w:szCs w:val="28"/>
          <w:lang w:val="en-US" w:eastAsia="zh-CN" w:bidi="ar"/>
        </w:rPr>
        <w:t>.</w:t>
      </w:r>
      <w:r>
        <w:rPr>
          <w:rFonts w:hint="eastAsia" w:ascii="宋体" w:hAnsi="宋体" w:eastAsia="宋体" w:cs="宋体"/>
          <w:b/>
          <w:bCs/>
          <w:color w:val="000000"/>
          <w:kern w:val="0"/>
          <w:sz w:val="32"/>
          <w:szCs w:val="32"/>
          <w:lang w:val="en-US" w:eastAsia="zh-CN" w:bidi="ar"/>
        </w:rPr>
        <w:t xml:space="preserve">  验收执行标准</w:t>
      </w:r>
      <w:bookmarkEnd w:id="45"/>
    </w:p>
    <w:p w14:paraId="00AE732A">
      <w:pPr>
        <w:pStyle w:val="9"/>
        <w:keepNext w:val="0"/>
        <w:keepLines w:val="0"/>
        <w:pageBreakBefore w:val="0"/>
        <w:widowControl w:val="0"/>
        <w:kinsoku/>
        <w:wordWrap/>
        <w:overflowPunct/>
        <w:topLinePunct w:val="0"/>
        <w:autoSpaceDE/>
        <w:autoSpaceDN/>
        <w:bidi w:val="0"/>
        <w:adjustRightInd/>
        <w:snapToGrid w:val="0"/>
        <w:spacing w:after="0" w:line="360" w:lineRule="auto"/>
        <w:ind w:left="0" w:leftChars="0" w:firstLine="0" w:firstLineChars="0"/>
        <w:jc w:val="both"/>
        <w:textAlignment w:val="auto"/>
        <w:outlineLvl w:val="1"/>
        <w:rPr>
          <w:rFonts w:hint="eastAsia" w:ascii="宋体" w:hAnsi="宋体" w:eastAsia="宋体" w:cs="宋体"/>
          <w:b/>
          <w:bCs/>
          <w:color w:val="000000"/>
          <w:kern w:val="0"/>
          <w:sz w:val="28"/>
          <w:szCs w:val="28"/>
          <w:lang w:val="en-US" w:eastAsia="zh-CN" w:bidi="ar"/>
        </w:rPr>
      </w:pPr>
      <w:bookmarkStart w:id="46" w:name="_Toc28053"/>
      <w:r>
        <w:rPr>
          <w:rFonts w:hint="eastAsia" w:ascii="宋体" w:hAnsi="宋体" w:eastAsia="宋体" w:cs="宋体"/>
          <w:b/>
          <w:bCs/>
          <w:color w:val="000000"/>
          <w:kern w:val="0"/>
          <w:sz w:val="28"/>
          <w:szCs w:val="28"/>
          <w:lang w:val="en-US" w:eastAsia="zh-CN" w:bidi="ar"/>
        </w:rPr>
        <w:t>6.1  环境空气</w:t>
      </w:r>
      <w:bookmarkEnd w:id="46"/>
    </w:p>
    <w:p w14:paraId="4DB3E6E6">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default"/>
          <w:lang w:val="en-US"/>
        </w:rPr>
      </w:pPr>
      <w:r>
        <w:rPr>
          <w:rFonts w:hint="eastAsia" w:ascii="宋体" w:hAnsi="宋体" w:eastAsia="宋体" w:cs="宋体"/>
          <w:color w:val="000000"/>
          <w:kern w:val="0"/>
          <w:sz w:val="24"/>
          <w:szCs w:val="24"/>
          <w:lang w:val="en-US" w:eastAsia="zh-CN" w:bidi="ar"/>
        </w:rPr>
        <w:t>H</w:t>
      </w:r>
      <w:r>
        <w:rPr>
          <w:rFonts w:hint="eastAsia" w:ascii="宋体" w:hAnsi="宋体" w:eastAsia="宋体" w:cs="宋体"/>
          <w:color w:val="000000"/>
          <w:kern w:val="0"/>
          <w:sz w:val="12"/>
          <w:szCs w:val="12"/>
          <w:lang w:val="en-US" w:eastAsia="zh-CN" w:bidi="ar"/>
        </w:rPr>
        <w:t>2</w:t>
      </w:r>
      <w:r>
        <w:rPr>
          <w:rFonts w:hint="eastAsia" w:ascii="宋体" w:hAnsi="宋体" w:eastAsia="宋体" w:cs="宋体"/>
          <w:color w:val="000000"/>
          <w:kern w:val="0"/>
          <w:sz w:val="24"/>
          <w:szCs w:val="24"/>
          <w:lang w:val="en-US" w:eastAsia="zh-CN" w:bidi="ar"/>
        </w:rPr>
        <w:t>S、NH</w:t>
      </w:r>
      <w:r>
        <w:rPr>
          <w:rFonts w:hint="eastAsia" w:ascii="宋体" w:hAnsi="宋体" w:eastAsia="宋体" w:cs="宋体"/>
          <w:color w:val="000000"/>
          <w:kern w:val="0"/>
          <w:sz w:val="12"/>
          <w:szCs w:val="12"/>
          <w:lang w:val="en-US" w:eastAsia="zh-CN" w:bidi="ar"/>
        </w:rPr>
        <w:t>3</w:t>
      </w:r>
      <w:r>
        <w:rPr>
          <w:rFonts w:hint="eastAsia" w:ascii="宋体" w:hAnsi="宋体" w:eastAsia="宋体" w:cs="宋体"/>
          <w:color w:val="000000"/>
          <w:kern w:val="0"/>
          <w:sz w:val="24"/>
          <w:szCs w:val="24"/>
          <w:lang w:val="en-US" w:eastAsia="zh-CN" w:bidi="ar"/>
        </w:rPr>
        <w:t>参考《环境影响评价技术导则 大气环境》（HJ2.2-2018）中附录 D；具体评价标准见表6</w:t>
      </w:r>
      <w:r>
        <w:rPr>
          <w:rFonts w:hint="eastAsia" w:ascii="宋体" w:hAnsi="宋体" w:cs="宋体"/>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-1。</w:t>
      </w:r>
    </w:p>
    <w:p w14:paraId="5D0F6134">
      <w:pPr>
        <w:keepNext w:val="0"/>
        <w:keepLines w:val="0"/>
        <w:widowControl/>
        <w:suppressLineNumbers w:val="0"/>
        <w:jc w:val="center"/>
        <w:rPr>
          <w:b/>
          <w:bCs/>
        </w:rPr>
      </w:pPr>
      <w:r>
        <w:rPr>
          <w:rFonts w:hint="eastAsia" w:ascii="宋体" w:hAnsi="宋体" w:eastAsia="宋体" w:cs="宋体"/>
          <w:b/>
          <w:bCs/>
          <w:color w:val="000000"/>
          <w:kern w:val="0"/>
          <w:sz w:val="24"/>
          <w:szCs w:val="24"/>
          <w:lang w:val="en-US" w:eastAsia="zh-CN" w:bidi="ar"/>
        </w:rPr>
        <w:t>表6</w:t>
      </w:r>
      <w:r>
        <w:rPr>
          <w:rFonts w:hint="eastAsia" w:ascii="宋体" w:hAnsi="宋体" w:cs="宋体"/>
          <w:b/>
          <w:bCs/>
          <w:color w:val="000000"/>
          <w:kern w:val="0"/>
          <w:sz w:val="24"/>
          <w:szCs w:val="24"/>
          <w:lang w:val="en-US" w:eastAsia="zh-CN" w:bidi="ar"/>
        </w:rPr>
        <w:t>.1</w:t>
      </w:r>
      <w:r>
        <w:rPr>
          <w:rFonts w:hint="eastAsia" w:ascii="宋体" w:hAnsi="宋体" w:eastAsia="宋体" w:cs="宋体"/>
          <w:b/>
          <w:bCs/>
          <w:color w:val="000000"/>
          <w:kern w:val="0"/>
          <w:sz w:val="24"/>
          <w:szCs w:val="24"/>
          <w:lang w:val="en-US" w:eastAsia="zh-CN" w:bidi="ar"/>
        </w:rPr>
        <w:t>-1  环境空气质量标准</w:t>
      </w:r>
    </w:p>
    <w:tbl>
      <w:tblPr>
        <w:tblStyle w:val="1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13"/>
        <w:gridCol w:w="1693"/>
        <w:gridCol w:w="2181"/>
        <w:gridCol w:w="3335"/>
      </w:tblGrid>
      <w:tr w14:paraId="4A8445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0" w:type="pct"/>
            <w:tcBorders>
              <w:tl2br w:val="nil"/>
              <w:tr2bl w:val="nil"/>
            </w:tcBorders>
            <w:noWrap w:val="0"/>
            <w:vAlign w:val="center"/>
          </w:tcPr>
          <w:p w14:paraId="65E91C27">
            <w:pPr>
              <w:pStyle w:val="34"/>
              <w:keepNext w:val="0"/>
              <w:keepLines w:val="0"/>
              <w:pageBreakBefore w:val="0"/>
              <w:kinsoku/>
              <w:wordWrap/>
              <w:overflowPunct/>
              <w:topLinePunct w:val="0"/>
              <w:autoSpaceDE/>
              <w:autoSpaceDN/>
              <w:bidi w:val="0"/>
              <w:snapToGrid w:val="0"/>
              <w:spacing w:before="0" w:after="0" w:line="240" w:lineRule="auto"/>
              <w:jc w:val="center"/>
              <w:textAlignment w:val="auto"/>
              <w:rPr>
                <w:rFonts w:hint="eastAsia" w:ascii="宋体" w:hAnsi="宋体" w:eastAsia="宋体" w:cs="宋体"/>
                <w:b/>
                <w:bCs/>
                <w:color w:val="000000"/>
                <w:sz w:val="21"/>
                <w:szCs w:val="21"/>
                <w:lang w:eastAsia="zh-CN"/>
              </w:rPr>
            </w:pPr>
            <w:r>
              <w:rPr>
                <w:rFonts w:hint="eastAsia" w:hAnsi="宋体" w:cs="宋体"/>
                <w:b/>
                <w:bCs/>
                <w:color w:val="000000"/>
                <w:sz w:val="21"/>
                <w:szCs w:val="21"/>
                <w:lang w:val="en-US" w:eastAsia="zh-CN"/>
              </w:rPr>
              <w:t>污染物</w:t>
            </w:r>
          </w:p>
        </w:tc>
        <w:tc>
          <w:tcPr>
            <w:tcW w:w="993" w:type="pct"/>
            <w:tcBorders>
              <w:tl2br w:val="nil"/>
              <w:tr2bl w:val="nil"/>
            </w:tcBorders>
            <w:noWrap w:val="0"/>
            <w:vAlign w:val="center"/>
          </w:tcPr>
          <w:p w14:paraId="536223FA">
            <w:pPr>
              <w:keepNext w:val="0"/>
              <w:keepLines w:val="0"/>
              <w:widowControl/>
              <w:suppressLineNumbers w:val="0"/>
              <w:jc w:val="center"/>
              <w:rPr>
                <w:rFonts w:hint="default" w:ascii="宋体" w:hAnsi="宋体" w:eastAsia="宋体" w:cs="宋体"/>
                <w:b/>
                <w:bCs/>
                <w:color w:val="000000"/>
                <w:kern w:val="2"/>
                <w:sz w:val="21"/>
                <w:szCs w:val="21"/>
                <w:lang w:val="en-US" w:eastAsia="zh-CN" w:bidi="ar-SA"/>
              </w:rPr>
            </w:pPr>
            <w:r>
              <w:rPr>
                <w:rFonts w:hint="eastAsia" w:ascii="宋体" w:hAnsi="宋体" w:eastAsia="宋体" w:cs="宋体"/>
                <w:b/>
                <w:bCs/>
                <w:color w:val="000000"/>
                <w:kern w:val="2"/>
                <w:sz w:val="21"/>
                <w:szCs w:val="21"/>
                <w:lang w:val="en-US" w:eastAsia="zh-CN" w:bidi="ar-SA"/>
              </w:rPr>
              <w:t>取值时间</w:t>
            </w:r>
          </w:p>
        </w:tc>
        <w:tc>
          <w:tcPr>
            <w:tcW w:w="1279" w:type="pct"/>
            <w:tcBorders>
              <w:tl2br w:val="nil"/>
              <w:tr2bl w:val="nil"/>
            </w:tcBorders>
            <w:noWrap w:val="0"/>
            <w:vAlign w:val="center"/>
          </w:tcPr>
          <w:p w14:paraId="65E9A277">
            <w:pPr>
              <w:keepNext w:val="0"/>
              <w:keepLines w:val="0"/>
              <w:widowControl/>
              <w:suppressLineNumbers w:val="0"/>
              <w:jc w:val="center"/>
              <w:rPr>
                <w:rFonts w:hint="eastAsia" w:ascii="宋体" w:hAnsi="宋体" w:eastAsia="宋体" w:cs="宋体"/>
                <w:b/>
                <w:bCs/>
                <w:color w:val="000000"/>
                <w:kern w:val="2"/>
                <w:sz w:val="21"/>
                <w:szCs w:val="21"/>
                <w:lang w:val="en-US" w:eastAsia="zh-CN" w:bidi="ar-SA"/>
              </w:rPr>
            </w:pPr>
            <w:r>
              <w:rPr>
                <w:rFonts w:hint="eastAsia" w:ascii="宋体" w:hAnsi="宋体" w:eastAsia="宋体" w:cs="宋体"/>
                <w:b/>
                <w:bCs/>
                <w:color w:val="000000"/>
                <w:kern w:val="2"/>
                <w:sz w:val="21"/>
                <w:szCs w:val="21"/>
                <w:lang w:val="en-US" w:eastAsia="zh-CN" w:bidi="ar-SA"/>
              </w:rPr>
              <w:t>标准限值（μg/m</w:t>
            </w:r>
            <w:r>
              <w:rPr>
                <w:rFonts w:hint="eastAsia" w:ascii="宋体" w:hAnsi="宋体" w:eastAsia="宋体" w:cs="宋体"/>
                <w:b/>
                <w:bCs/>
                <w:color w:val="000000"/>
                <w:kern w:val="2"/>
                <w:sz w:val="21"/>
                <w:szCs w:val="21"/>
                <w:vertAlign w:val="superscript"/>
                <w:lang w:val="en-US" w:eastAsia="zh-CN" w:bidi="ar-SA"/>
              </w:rPr>
              <w:t>3</w:t>
            </w:r>
            <w:r>
              <w:rPr>
                <w:rFonts w:hint="eastAsia" w:ascii="宋体" w:hAnsi="宋体" w:eastAsia="宋体" w:cs="宋体"/>
                <w:b/>
                <w:bCs/>
                <w:color w:val="000000"/>
                <w:kern w:val="2"/>
                <w:sz w:val="21"/>
                <w:szCs w:val="21"/>
                <w:lang w:val="en-US" w:eastAsia="zh-CN" w:bidi="ar-SA"/>
              </w:rPr>
              <w:t>）</w:t>
            </w:r>
          </w:p>
        </w:tc>
        <w:tc>
          <w:tcPr>
            <w:tcW w:w="1956" w:type="pct"/>
            <w:tcBorders>
              <w:tl2br w:val="nil"/>
              <w:tr2bl w:val="nil"/>
            </w:tcBorders>
            <w:noWrap w:val="0"/>
            <w:vAlign w:val="center"/>
          </w:tcPr>
          <w:p w14:paraId="4A430875">
            <w:pPr>
              <w:keepNext w:val="0"/>
              <w:keepLines w:val="0"/>
              <w:widowControl/>
              <w:suppressLineNumbers w:val="0"/>
              <w:jc w:val="center"/>
              <w:rPr>
                <w:rFonts w:hint="eastAsia" w:ascii="宋体" w:hAnsi="宋体" w:eastAsia="宋体" w:cs="宋体"/>
                <w:b/>
                <w:bCs/>
                <w:color w:val="000000"/>
                <w:sz w:val="21"/>
                <w:szCs w:val="21"/>
              </w:rPr>
            </w:pPr>
            <w:r>
              <w:rPr>
                <w:rFonts w:hint="eastAsia" w:ascii="宋体" w:hAnsi="宋体" w:eastAsia="宋体" w:cs="宋体"/>
                <w:b/>
                <w:bCs/>
                <w:color w:val="000000"/>
                <w:kern w:val="2"/>
                <w:sz w:val="21"/>
                <w:szCs w:val="21"/>
                <w:lang w:val="en-US" w:eastAsia="zh-CN" w:bidi="ar-SA"/>
              </w:rPr>
              <w:t>标准来源</w:t>
            </w:r>
          </w:p>
        </w:tc>
      </w:tr>
      <w:tr w14:paraId="28F32A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770" w:type="pct"/>
            <w:tcBorders>
              <w:tl2br w:val="nil"/>
              <w:tr2bl w:val="nil"/>
            </w:tcBorders>
            <w:shd w:val="clear" w:color="auto" w:fill="auto"/>
            <w:noWrap w:val="0"/>
            <w:vAlign w:val="center"/>
          </w:tcPr>
          <w:p w14:paraId="3451D284">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color w:val="000000"/>
                <w:kern w:val="0"/>
                <w:sz w:val="21"/>
                <w:szCs w:val="21"/>
                <w:lang w:val="en-US" w:eastAsia="zh-CN" w:bidi="ar"/>
              </w:rPr>
              <w:t>NH</w:t>
            </w:r>
            <w:r>
              <w:rPr>
                <w:rFonts w:hint="eastAsia" w:ascii="宋体" w:hAnsi="宋体" w:eastAsia="宋体" w:cs="宋体"/>
                <w:color w:val="000000"/>
                <w:kern w:val="0"/>
                <w:sz w:val="21"/>
                <w:szCs w:val="21"/>
                <w:vertAlign w:val="subscript"/>
                <w:lang w:val="en-US" w:eastAsia="zh-CN" w:bidi="ar"/>
              </w:rPr>
              <w:t>3</w:t>
            </w:r>
          </w:p>
        </w:tc>
        <w:tc>
          <w:tcPr>
            <w:tcW w:w="993" w:type="pct"/>
            <w:tcBorders>
              <w:tl2br w:val="nil"/>
              <w:tr2bl w:val="nil"/>
            </w:tcBorders>
            <w:noWrap w:val="0"/>
            <w:vAlign w:val="center"/>
          </w:tcPr>
          <w:p w14:paraId="0C710268">
            <w:pPr>
              <w:pStyle w:val="34"/>
              <w:keepNext w:val="0"/>
              <w:keepLines w:val="0"/>
              <w:pageBreakBefore w:val="0"/>
              <w:kinsoku/>
              <w:wordWrap/>
              <w:overflowPunct/>
              <w:topLinePunct w:val="0"/>
              <w:autoSpaceDE/>
              <w:autoSpaceDN/>
              <w:bidi w:val="0"/>
              <w:snapToGrid w:val="0"/>
              <w:spacing w:before="0" w:after="0" w:line="240" w:lineRule="auto"/>
              <w:jc w:val="center"/>
              <w:textAlignment w:val="auto"/>
              <w:rPr>
                <w:rFonts w:hint="default" w:hAnsi="宋体" w:cs="宋体"/>
                <w:b w:val="0"/>
                <w:bCs w:val="0"/>
                <w:color w:val="000000"/>
                <w:sz w:val="21"/>
                <w:szCs w:val="21"/>
                <w:lang w:val="en-US" w:eastAsia="zh-CN"/>
              </w:rPr>
            </w:pPr>
            <w:r>
              <w:rPr>
                <w:rFonts w:hint="eastAsia" w:hAnsi="宋体" w:cs="宋体"/>
                <w:b w:val="0"/>
                <w:bCs w:val="0"/>
                <w:color w:val="000000"/>
                <w:sz w:val="21"/>
                <w:szCs w:val="21"/>
                <w:lang w:val="en-US" w:eastAsia="zh-CN"/>
              </w:rPr>
              <w:t>一次值</w:t>
            </w:r>
          </w:p>
        </w:tc>
        <w:tc>
          <w:tcPr>
            <w:tcW w:w="1279" w:type="pct"/>
            <w:tcBorders>
              <w:tl2br w:val="nil"/>
              <w:tr2bl w:val="nil"/>
            </w:tcBorders>
            <w:noWrap w:val="0"/>
            <w:vAlign w:val="center"/>
          </w:tcPr>
          <w:p w14:paraId="2A5F03AC">
            <w:pPr>
              <w:pStyle w:val="34"/>
              <w:keepNext w:val="0"/>
              <w:keepLines w:val="0"/>
              <w:pageBreakBefore w:val="0"/>
              <w:kinsoku/>
              <w:wordWrap/>
              <w:overflowPunct/>
              <w:topLinePunct w:val="0"/>
              <w:autoSpaceDE/>
              <w:autoSpaceDN/>
              <w:bidi w:val="0"/>
              <w:snapToGrid w:val="0"/>
              <w:spacing w:before="0" w:after="0" w:line="240" w:lineRule="auto"/>
              <w:jc w:val="center"/>
              <w:textAlignment w:val="auto"/>
              <w:rPr>
                <w:rFonts w:hint="default" w:hAnsi="宋体" w:cs="宋体"/>
                <w:b w:val="0"/>
                <w:bCs w:val="0"/>
                <w:color w:val="000000"/>
                <w:sz w:val="21"/>
                <w:szCs w:val="21"/>
                <w:lang w:val="en-US" w:eastAsia="zh-CN"/>
              </w:rPr>
            </w:pPr>
            <w:r>
              <w:rPr>
                <w:rFonts w:hint="eastAsia" w:hAnsi="宋体" w:cs="宋体"/>
                <w:b w:val="0"/>
                <w:bCs w:val="0"/>
                <w:color w:val="000000"/>
                <w:sz w:val="21"/>
                <w:szCs w:val="21"/>
                <w:lang w:val="en-US" w:eastAsia="zh-CN"/>
              </w:rPr>
              <w:t>200</w:t>
            </w:r>
          </w:p>
        </w:tc>
        <w:tc>
          <w:tcPr>
            <w:tcW w:w="1956" w:type="pct"/>
            <w:vMerge w:val="restart"/>
            <w:tcBorders>
              <w:tl2br w:val="nil"/>
              <w:tr2bl w:val="nil"/>
            </w:tcBorders>
            <w:noWrap w:val="0"/>
            <w:vAlign w:val="center"/>
          </w:tcPr>
          <w:p w14:paraId="0DC514AA">
            <w:pPr>
              <w:pStyle w:val="34"/>
              <w:keepNext w:val="0"/>
              <w:keepLines w:val="0"/>
              <w:pageBreakBefore w:val="0"/>
              <w:kinsoku/>
              <w:wordWrap/>
              <w:overflowPunct/>
              <w:topLinePunct w:val="0"/>
              <w:autoSpaceDE/>
              <w:autoSpaceDN/>
              <w:bidi w:val="0"/>
              <w:snapToGrid w:val="0"/>
              <w:spacing w:before="0" w:after="0" w:line="240" w:lineRule="auto"/>
              <w:jc w:val="center"/>
              <w:textAlignment w:val="auto"/>
              <w:rPr>
                <w:rFonts w:hint="default" w:hAnsi="宋体" w:cs="宋体"/>
                <w:b w:val="0"/>
                <w:bCs w:val="0"/>
                <w:color w:val="000000"/>
                <w:sz w:val="21"/>
                <w:szCs w:val="21"/>
                <w:lang w:val="en-US" w:eastAsia="zh-CN"/>
              </w:rPr>
            </w:pPr>
            <w:r>
              <w:rPr>
                <w:rFonts w:hint="eastAsia" w:hAnsi="宋体" w:cs="宋体"/>
                <w:b w:val="0"/>
                <w:bCs w:val="0"/>
                <w:color w:val="000000"/>
                <w:sz w:val="21"/>
                <w:szCs w:val="21"/>
                <w:lang w:val="en-US" w:eastAsia="zh-CN"/>
              </w:rPr>
              <w:t>《环境影响评价技术导则 大气环境》（HJ2.2-2018）中附录</w:t>
            </w:r>
          </w:p>
        </w:tc>
      </w:tr>
      <w:tr w14:paraId="67AD41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70" w:type="pct"/>
            <w:tcBorders>
              <w:tl2br w:val="nil"/>
              <w:tr2bl w:val="nil"/>
            </w:tcBorders>
            <w:shd w:val="clear" w:color="auto" w:fill="auto"/>
            <w:noWrap w:val="0"/>
            <w:vAlign w:val="center"/>
          </w:tcPr>
          <w:p w14:paraId="316FF7CA">
            <w:pPr>
              <w:pStyle w:val="34"/>
              <w:keepNext w:val="0"/>
              <w:keepLines w:val="0"/>
              <w:pageBreakBefore w:val="0"/>
              <w:kinsoku/>
              <w:wordWrap/>
              <w:overflowPunct/>
              <w:topLinePunct w:val="0"/>
              <w:autoSpaceDE/>
              <w:autoSpaceDN/>
              <w:bidi w:val="0"/>
              <w:snapToGrid w:val="0"/>
              <w:spacing w:before="0" w:after="0" w:line="240" w:lineRule="auto"/>
              <w:textAlignment w:val="auto"/>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color w:val="000000"/>
                <w:kern w:val="0"/>
                <w:sz w:val="21"/>
                <w:szCs w:val="21"/>
                <w:lang w:val="en-US" w:eastAsia="zh-CN" w:bidi="ar"/>
              </w:rPr>
              <w:t>H</w:t>
            </w:r>
            <w:r>
              <w:rPr>
                <w:rFonts w:hint="eastAsia" w:ascii="宋体" w:hAnsi="宋体" w:eastAsia="宋体" w:cs="宋体"/>
                <w:color w:val="000000"/>
                <w:kern w:val="0"/>
                <w:sz w:val="21"/>
                <w:szCs w:val="21"/>
                <w:vertAlign w:val="subscript"/>
                <w:lang w:val="en-US" w:eastAsia="zh-CN" w:bidi="ar"/>
              </w:rPr>
              <w:t>2</w:t>
            </w:r>
            <w:r>
              <w:rPr>
                <w:rFonts w:hint="eastAsia" w:ascii="宋体" w:hAnsi="宋体" w:eastAsia="宋体" w:cs="宋体"/>
                <w:color w:val="000000"/>
                <w:kern w:val="0"/>
                <w:sz w:val="21"/>
                <w:szCs w:val="21"/>
                <w:lang w:val="en-US" w:eastAsia="zh-CN" w:bidi="ar"/>
              </w:rPr>
              <w:t>S</w:t>
            </w:r>
          </w:p>
        </w:tc>
        <w:tc>
          <w:tcPr>
            <w:tcW w:w="993" w:type="pct"/>
            <w:tcBorders>
              <w:tl2br w:val="nil"/>
              <w:tr2bl w:val="nil"/>
            </w:tcBorders>
            <w:noWrap w:val="0"/>
            <w:vAlign w:val="center"/>
          </w:tcPr>
          <w:p w14:paraId="1B43AA0D">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val="0"/>
                <w:bCs w:val="0"/>
                <w:color w:val="000000"/>
                <w:sz w:val="21"/>
                <w:szCs w:val="21"/>
              </w:rPr>
            </w:pPr>
            <w:r>
              <w:rPr>
                <w:rFonts w:hint="eastAsia" w:hAnsi="宋体" w:cs="宋体"/>
                <w:b w:val="0"/>
                <w:bCs w:val="0"/>
                <w:color w:val="000000"/>
                <w:sz w:val="21"/>
                <w:szCs w:val="21"/>
                <w:lang w:val="en-US" w:eastAsia="zh-CN"/>
              </w:rPr>
              <w:t>一次值</w:t>
            </w:r>
          </w:p>
        </w:tc>
        <w:tc>
          <w:tcPr>
            <w:tcW w:w="1279" w:type="pct"/>
            <w:tcBorders>
              <w:tl2br w:val="nil"/>
              <w:tr2bl w:val="nil"/>
            </w:tcBorders>
            <w:noWrap w:val="0"/>
            <w:vAlign w:val="center"/>
          </w:tcPr>
          <w:p w14:paraId="14E29BD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10</w:t>
            </w:r>
          </w:p>
        </w:tc>
        <w:tc>
          <w:tcPr>
            <w:tcW w:w="1956" w:type="pct"/>
            <w:vMerge w:val="continue"/>
            <w:tcBorders>
              <w:tl2br w:val="nil"/>
              <w:tr2bl w:val="nil"/>
            </w:tcBorders>
            <w:noWrap w:val="0"/>
            <w:vAlign w:val="center"/>
          </w:tcPr>
          <w:p w14:paraId="07D52C34">
            <w:pPr>
              <w:keepNext w:val="0"/>
              <w:keepLines w:val="0"/>
              <w:pageBreakBefore w:val="0"/>
              <w:widowControl/>
              <w:kinsoku/>
              <w:wordWrap/>
              <w:overflowPunct/>
              <w:topLinePunct w:val="0"/>
              <w:autoSpaceDE/>
              <w:autoSpaceDN/>
              <w:bidi w:val="0"/>
              <w:adjustRightInd/>
              <w:snapToGrid w:val="0"/>
              <w:spacing w:before="0" w:after="0" w:line="240" w:lineRule="auto"/>
              <w:jc w:val="center"/>
              <w:textAlignment w:val="auto"/>
              <w:rPr>
                <w:rFonts w:hint="eastAsia" w:ascii="宋体" w:hAnsi="宋体" w:eastAsia="宋体" w:cs="宋体"/>
                <w:b w:val="0"/>
                <w:bCs w:val="0"/>
                <w:color w:val="000000"/>
                <w:sz w:val="21"/>
                <w:szCs w:val="21"/>
              </w:rPr>
            </w:pPr>
          </w:p>
        </w:tc>
      </w:tr>
    </w:tbl>
    <w:p w14:paraId="496E8D8C">
      <w:pPr>
        <w:pStyle w:val="9"/>
        <w:keepNext w:val="0"/>
        <w:keepLines w:val="0"/>
        <w:pageBreakBefore w:val="0"/>
        <w:widowControl w:val="0"/>
        <w:kinsoku/>
        <w:wordWrap/>
        <w:overflowPunct/>
        <w:topLinePunct w:val="0"/>
        <w:autoSpaceDE/>
        <w:autoSpaceDN/>
        <w:bidi w:val="0"/>
        <w:adjustRightInd/>
        <w:snapToGrid w:val="0"/>
        <w:spacing w:after="0" w:line="360" w:lineRule="auto"/>
        <w:ind w:left="0" w:leftChars="0" w:firstLine="0" w:firstLineChars="0"/>
        <w:jc w:val="both"/>
        <w:textAlignment w:val="auto"/>
        <w:outlineLvl w:val="1"/>
        <w:rPr>
          <w:rFonts w:hint="eastAsia" w:ascii="宋体" w:hAnsi="宋体" w:eastAsia="宋体" w:cs="宋体"/>
          <w:b/>
          <w:bCs/>
          <w:color w:val="000000"/>
          <w:kern w:val="0"/>
          <w:sz w:val="28"/>
          <w:szCs w:val="28"/>
          <w:lang w:val="en-US" w:eastAsia="zh-CN" w:bidi="ar"/>
        </w:rPr>
      </w:pPr>
      <w:bookmarkStart w:id="47" w:name="_Toc12662"/>
      <w:r>
        <w:rPr>
          <w:rFonts w:hint="eastAsia" w:ascii="宋体" w:hAnsi="宋体" w:eastAsia="宋体" w:cs="宋体"/>
          <w:b/>
          <w:bCs/>
          <w:color w:val="000000"/>
          <w:kern w:val="0"/>
          <w:sz w:val="28"/>
          <w:szCs w:val="28"/>
          <w:lang w:val="en-US" w:eastAsia="zh-CN" w:bidi="ar"/>
        </w:rPr>
        <w:t>6.2  废气</w:t>
      </w:r>
      <w:bookmarkEnd w:id="47"/>
    </w:p>
    <w:p w14:paraId="69EE5289">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污水处理厂产生的恶臭气体有组织外排执行《恶臭污染物排放标准》（GB14554-93）二级标准，无组织外排执行《城镇污水处理厂污染物排放标准GB18918—2002》二级标准见表6</w:t>
      </w:r>
      <w:r>
        <w:rPr>
          <w:rFonts w:hint="eastAsia" w:ascii="宋体" w:hAnsi="宋体" w:cs="宋体"/>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w:t>
      </w:r>
      <w:r>
        <w:rPr>
          <w:rFonts w:hint="eastAsia" w:ascii="宋体" w:hAnsi="宋体" w:cs="宋体"/>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w:t>
      </w:r>
    </w:p>
    <w:p w14:paraId="137A0189">
      <w:pPr>
        <w:keepNext w:val="0"/>
        <w:keepLines w:val="0"/>
        <w:widowControl/>
        <w:suppressLineNumbers w:val="0"/>
        <w:jc w:val="center"/>
        <w:rPr>
          <w:rFonts w:hint="default"/>
          <w:b/>
          <w:bCs/>
          <w:lang w:val="en-US"/>
        </w:rPr>
      </w:pPr>
      <w:r>
        <w:rPr>
          <w:rFonts w:hint="eastAsia" w:ascii="宋体" w:hAnsi="宋体" w:eastAsia="宋体" w:cs="宋体"/>
          <w:b/>
          <w:bCs/>
          <w:color w:val="000000"/>
          <w:kern w:val="0"/>
          <w:sz w:val="24"/>
          <w:szCs w:val="24"/>
          <w:lang w:val="en-US" w:eastAsia="zh-CN" w:bidi="ar"/>
        </w:rPr>
        <w:t>表6</w:t>
      </w:r>
      <w:r>
        <w:rPr>
          <w:rFonts w:hint="eastAsia" w:ascii="宋体"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w:t>
      </w:r>
      <w:r>
        <w:rPr>
          <w:rFonts w:hint="eastAsia" w:ascii="宋体" w:hAnsi="宋体" w:cs="宋体"/>
          <w:b/>
          <w:bCs/>
          <w:color w:val="000000"/>
          <w:kern w:val="0"/>
          <w:sz w:val="24"/>
          <w:szCs w:val="24"/>
          <w:lang w:val="en-US" w:eastAsia="zh-CN" w:bidi="ar"/>
        </w:rPr>
        <w:t>1</w:t>
      </w:r>
      <w:r>
        <w:rPr>
          <w:rFonts w:hint="eastAsia" w:ascii="宋体" w:hAnsi="宋体" w:eastAsia="宋体" w:cs="宋体"/>
          <w:b/>
          <w:bCs/>
          <w:color w:val="000000"/>
          <w:kern w:val="0"/>
          <w:sz w:val="24"/>
          <w:szCs w:val="24"/>
          <w:lang w:val="en-US" w:eastAsia="zh-CN" w:bidi="ar"/>
        </w:rPr>
        <w:t xml:space="preserve">  厂界废气排放最高允许浓度 单位：mg/m</w:t>
      </w:r>
      <w:r>
        <w:rPr>
          <w:rFonts w:hint="eastAsia" w:ascii="宋体" w:hAnsi="宋体" w:eastAsia="宋体" w:cs="宋体"/>
          <w:b/>
          <w:bCs/>
          <w:color w:val="000000"/>
          <w:kern w:val="0"/>
          <w:sz w:val="24"/>
          <w:szCs w:val="24"/>
          <w:vertAlign w:val="superscript"/>
          <w:lang w:val="en-US" w:eastAsia="zh-CN" w:bidi="ar"/>
        </w:rPr>
        <w:t>3</w:t>
      </w:r>
    </w:p>
    <w:tbl>
      <w:tblPr>
        <w:tblStyle w:val="1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51"/>
        <w:gridCol w:w="2256"/>
        <w:gridCol w:w="2440"/>
        <w:gridCol w:w="2172"/>
      </w:tblGrid>
      <w:tr w14:paraId="16DAD6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9" w:type="pct"/>
            <w:vMerge w:val="restart"/>
            <w:tcBorders>
              <w:tl2br w:val="nil"/>
              <w:tr2bl w:val="nil"/>
            </w:tcBorders>
            <w:noWrap w:val="0"/>
            <w:vAlign w:val="center"/>
          </w:tcPr>
          <w:p w14:paraId="2BCA0609">
            <w:pPr>
              <w:pStyle w:val="34"/>
              <w:keepNext w:val="0"/>
              <w:keepLines w:val="0"/>
              <w:pageBreakBefore w:val="0"/>
              <w:kinsoku/>
              <w:wordWrap/>
              <w:overflowPunct/>
              <w:topLinePunct w:val="0"/>
              <w:autoSpaceDE/>
              <w:autoSpaceDN/>
              <w:bidi w:val="0"/>
              <w:snapToGrid w:val="0"/>
              <w:spacing w:before="0" w:after="0" w:line="240" w:lineRule="auto"/>
              <w:jc w:val="center"/>
              <w:textAlignment w:val="auto"/>
              <w:rPr>
                <w:rFonts w:hint="eastAsia" w:ascii="宋体" w:hAnsi="宋体" w:eastAsia="宋体" w:cs="宋体"/>
                <w:b/>
                <w:bCs/>
                <w:color w:val="000000"/>
                <w:sz w:val="21"/>
                <w:szCs w:val="21"/>
                <w:lang w:eastAsia="zh-CN"/>
              </w:rPr>
            </w:pPr>
            <w:r>
              <w:rPr>
                <w:rFonts w:hint="eastAsia" w:hAnsi="宋体" w:cs="宋体"/>
                <w:b/>
                <w:bCs/>
                <w:color w:val="000000"/>
                <w:sz w:val="21"/>
                <w:szCs w:val="21"/>
                <w:lang w:val="en-US" w:eastAsia="zh-CN"/>
              </w:rPr>
              <w:t>污染物</w:t>
            </w:r>
          </w:p>
        </w:tc>
        <w:tc>
          <w:tcPr>
            <w:tcW w:w="1324" w:type="pct"/>
            <w:vMerge w:val="restart"/>
            <w:tcBorders>
              <w:tl2br w:val="nil"/>
              <w:tr2bl w:val="nil"/>
            </w:tcBorders>
            <w:noWrap w:val="0"/>
            <w:vAlign w:val="center"/>
          </w:tcPr>
          <w:p w14:paraId="37AFDE48">
            <w:pPr>
              <w:keepNext w:val="0"/>
              <w:keepLines w:val="0"/>
              <w:widowControl/>
              <w:suppressLineNumbers w:val="0"/>
              <w:jc w:val="center"/>
              <w:rPr>
                <w:rFonts w:hint="eastAsia" w:ascii="宋体" w:hAnsi="宋体" w:eastAsia="宋体" w:cs="宋体"/>
                <w:b/>
                <w:bCs/>
                <w:color w:val="000000"/>
                <w:kern w:val="2"/>
                <w:sz w:val="21"/>
                <w:szCs w:val="21"/>
                <w:lang w:val="en-US" w:eastAsia="zh-CN" w:bidi="ar-SA"/>
              </w:rPr>
            </w:pPr>
            <w:r>
              <w:rPr>
                <w:rFonts w:hint="eastAsia" w:ascii="宋体" w:hAnsi="宋体" w:eastAsia="宋体" w:cs="宋体"/>
                <w:b/>
                <w:bCs/>
                <w:color w:val="000000"/>
                <w:kern w:val="2"/>
                <w:sz w:val="21"/>
                <w:szCs w:val="21"/>
                <w:lang w:val="en-US" w:eastAsia="zh-CN" w:bidi="ar-SA"/>
              </w:rPr>
              <w:t>标准限值</w:t>
            </w:r>
          </w:p>
        </w:tc>
        <w:tc>
          <w:tcPr>
            <w:tcW w:w="2706" w:type="pct"/>
            <w:gridSpan w:val="2"/>
            <w:tcBorders>
              <w:tl2br w:val="nil"/>
              <w:tr2bl w:val="nil"/>
            </w:tcBorders>
            <w:noWrap w:val="0"/>
            <w:vAlign w:val="center"/>
          </w:tcPr>
          <w:p w14:paraId="2B2DA429">
            <w:pPr>
              <w:keepNext w:val="0"/>
              <w:keepLines w:val="0"/>
              <w:widowControl/>
              <w:suppressLineNumbers w:val="0"/>
              <w:jc w:val="center"/>
              <w:rPr>
                <w:rFonts w:hint="default" w:ascii="宋体" w:hAnsi="宋体" w:eastAsia="宋体" w:cs="宋体"/>
                <w:b/>
                <w:bCs/>
                <w:color w:val="000000"/>
                <w:kern w:val="2"/>
                <w:sz w:val="21"/>
                <w:szCs w:val="21"/>
                <w:lang w:val="en-US" w:eastAsia="zh-CN" w:bidi="ar-SA"/>
              </w:rPr>
            </w:pPr>
            <w:r>
              <w:rPr>
                <w:rFonts w:hint="eastAsia" w:ascii="宋体" w:hAnsi="宋体" w:eastAsia="宋体" w:cs="宋体"/>
                <w:b/>
                <w:bCs/>
                <w:color w:val="000000"/>
                <w:kern w:val="2"/>
                <w:sz w:val="21"/>
                <w:szCs w:val="21"/>
                <w:lang w:val="en-US" w:eastAsia="zh-CN" w:bidi="ar-SA"/>
              </w:rPr>
              <w:t>排放标准限值</w:t>
            </w:r>
          </w:p>
        </w:tc>
      </w:tr>
      <w:tr w14:paraId="716E12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969" w:type="pct"/>
            <w:vMerge w:val="continue"/>
            <w:tcBorders>
              <w:tl2br w:val="nil"/>
              <w:tr2bl w:val="nil"/>
            </w:tcBorders>
            <w:shd w:val="clear" w:color="auto" w:fill="auto"/>
            <w:noWrap w:val="0"/>
            <w:vAlign w:val="center"/>
          </w:tcPr>
          <w:p w14:paraId="208AEA7E">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ascii="宋体" w:hAnsi="宋体" w:eastAsia="宋体" w:cs="宋体"/>
                <w:b/>
                <w:bCs/>
                <w:color w:val="000000"/>
                <w:kern w:val="2"/>
                <w:sz w:val="21"/>
                <w:szCs w:val="21"/>
                <w:lang w:val="en-US" w:eastAsia="zh-CN" w:bidi="ar-SA"/>
              </w:rPr>
            </w:pPr>
          </w:p>
        </w:tc>
        <w:tc>
          <w:tcPr>
            <w:tcW w:w="1324" w:type="pct"/>
            <w:vMerge w:val="continue"/>
            <w:tcBorders>
              <w:tl2br w:val="nil"/>
              <w:tr2bl w:val="nil"/>
            </w:tcBorders>
            <w:noWrap w:val="0"/>
            <w:vAlign w:val="center"/>
          </w:tcPr>
          <w:p w14:paraId="2640CCD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
                <w:bCs/>
                <w:color w:val="000000"/>
                <w:kern w:val="2"/>
                <w:sz w:val="21"/>
                <w:szCs w:val="21"/>
                <w:lang w:val="en-US" w:eastAsia="zh-CN" w:bidi="ar-SA"/>
              </w:rPr>
            </w:pPr>
          </w:p>
        </w:tc>
        <w:tc>
          <w:tcPr>
            <w:tcW w:w="1432" w:type="pct"/>
            <w:tcBorders>
              <w:tl2br w:val="nil"/>
              <w:tr2bl w:val="nil"/>
            </w:tcBorders>
            <w:noWrap w:val="0"/>
            <w:vAlign w:val="center"/>
          </w:tcPr>
          <w:p w14:paraId="730DABEA">
            <w:pPr>
              <w:keepNext w:val="0"/>
              <w:keepLines w:val="0"/>
              <w:pageBreakBefore w:val="0"/>
              <w:widowControl/>
              <w:kinsoku/>
              <w:wordWrap/>
              <w:overflowPunct/>
              <w:topLinePunct w:val="0"/>
              <w:autoSpaceDE/>
              <w:autoSpaceDN/>
              <w:bidi w:val="0"/>
              <w:adjustRightInd/>
              <w:snapToGrid w:val="0"/>
              <w:spacing w:before="0" w:after="0" w:line="240" w:lineRule="auto"/>
              <w:jc w:val="center"/>
              <w:textAlignment w:val="auto"/>
              <w:rPr>
                <w:rFonts w:hint="default"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排气筒高度（m）</w:t>
            </w:r>
          </w:p>
        </w:tc>
        <w:tc>
          <w:tcPr>
            <w:tcW w:w="1274" w:type="pct"/>
            <w:tcBorders>
              <w:tl2br w:val="nil"/>
              <w:tr2bl w:val="nil"/>
            </w:tcBorders>
            <w:noWrap w:val="0"/>
            <w:vAlign w:val="center"/>
          </w:tcPr>
          <w:p w14:paraId="668D7CC1">
            <w:pPr>
              <w:keepNext w:val="0"/>
              <w:keepLines w:val="0"/>
              <w:pageBreakBefore w:val="0"/>
              <w:widowControl/>
              <w:kinsoku/>
              <w:wordWrap/>
              <w:overflowPunct/>
              <w:topLinePunct w:val="0"/>
              <w:autoSpaceDE/>
              <w:autoSpaceDN/>
              <w:bidi w:val="0"/>
              <w:adjustRightInd/>
              <w:snapToGrid w:val="0"/>
              <w:spacing w:before="0" w:after="0" w:line="240" w:lineRule="auto"/>
              <w:jc w:val="center"/>
              <w:textAlignment w:val="auto"/>
              <w:rPr>
                <w:rFonts w:hint="default"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排放速率kg/h</w:t>
            </w:r>
          </w:p>
        </w:tc>
      </w:tr>
      <w:tr w14:paraId="5CAD3F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969" w:type="pct"/>
            <w:tcBorders>
              <w:tl2br w:val="nil"/>
              <w:tr2bl w:val="nil"/>
            </w:tcBorders>
            <w:shd w:val="clear" w:color="auto" w:fill="auto"/>
            <w:noWrap w:val="0"/>
            <w:vAlign w:val="center"/>
          </w:tcPr>
          <w:p w14:paraId="7626643D">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ascii="宋体" w:hAnsi="宋体" w:eastAsia="宋体" w:cs="宋体"/>
                <w:b w:val="0"/>
                <w:bCs w:val="0"/>
                <w:color w:val="000000"/>
                <w:kern w:val="2"/>
                <w:sz w:val="21"/>
                <w:szCs w:val="21"/>
                <w:lang w:val="en-US" w:eastAsia="zh-CN" w:bidi="ar-SA"/>
              </w:rPr>
            </w:pPr>
            <w:r>
              <w:rPr>
                <w:rFonts w:hint="eastAsia" w:ascii="宋体" w:hAnsi="宋体" w:eastAsia="宋体" w:cs="宋体"/>
                <w:color w:val="000000"/>
                <w:kern w:val="0"/>
                <w:sz w:val="21"/>
                <w:szCs w:val="21"/>
                <w:lang w:val="en-US" w:eastAsia="zh-CN" w:bidi="ar"/>
              </w:rPr>
              <w:t>NH</w:t>
            </w:r>
            <w:r>
              <w:rPr>
                <w:rFonts w:hint="eastAsia" w:ascii="宋体" w:hAnsi="宋体" w:eastAsia="宋体" w:cs="宋体"/>
                <w:color w:val="000000"/>
                <w:kern w:val="0"/>
                <w:sz w:val="21"/>
                <w:szCs w:val="21"/>
                <w:vertAlign w:val="subscript"/>
                <w:lang w:val="en-US" w:eastAsia="zh-CN" w:bidi="ar"/>
              </w:rPr>
              <w:t>3</w:t>
            </w:r>
          </w:p>
        </w:tc>
        <w:tc>
          <w:tcPr>
            <w:tcW w:w="1324" w:type="pct"/>
            <w:tcBorders>
              <w:tl2br w:val="nil"/>
              <w:tr2bl w:val="nil"/>
            </w:tcBorders>
            <w:shd w:val="clear" w:color="auto" w:fill="auto"/>
            <w:noWrap w:val="0"/>
            <w:vAlign w:val="center"/>
          </w:tcPr>
          <w:p w14:paraId="3087FB1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1.5</w:t>
            </w:r>
          </w:p>
        </w:tc>
        <w:tc>
          <w:tcPr>
            <w:tcW w:w="1432" w:type="pct"/>
            <w:vMerge w:val="restart"/>
            <w:tcBorders>
              <w:tl2br w:val="nil"/>
              <w:tr2bl w:val="nil"/>
            </w:tcBorders>
            <w:noWrap w:val="0"/>
            <w:vAlign w:val="center"/>
          </w:tcPr>
          <w:p w14:paraId="2E4C6253">
            <w:pPr>
              <w:keepNext w:val="0"/>
              <w:keepLines w:val="0"/>
              <w:pageBreakBefore w:val="0"/>
              <w:widowControl/>
              <w:kinsoku/>
              <w:wordWrap/>
              <w:overflowPunct/>
              <w:topLinePunct w:val="0"/>
              <w:autoSpaceDE/>
              <w:autoSpaceDN/>
              <w:bidi w:val="0"/>
              <w:adjustRightInd/>
              <w:snapToGrid w:val="0"/>
              <w:spacing w:before="0" w:after="0" w:line="240" w:lineRule="auto"/>
              <w:jc w:val="center"/>
              <w:textAlignment w:val="auto"/>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15</w:t>
            </w:r>
          </w:p>
        </w:tc>
        <w:tc>
          <w:tcPr>
            <w:tcW w:w="1274" w:type="pct"/>
            <w:tcBorders>
              <w:tl2br w:val="nil"/>
              <w:tr2bl w:val="nil"/>
            </w:tcBorders>
            <w:noWrap w:val="0"/>
            <w:vAlign w:val="center"/>
          </w:tcPr>
          <w:p w14:paraId="2347E5C6">
            <w:pPr>
              <w:keepNext w:val="0"/>
              <w:keepLines w:val="0"/>
              <w:pageBreakBefore w:val="0"/>
              <w:widowControl/>
              <w:kinsoku/>
              <w:wordWrap/>
              <w:overflowPunct/>
              <w:topLinePunct w:val="0"/>
              <w:autoSpaceDE/>
              <w:autoSpaceDN/>
              <w:bidi w:val="0"/>
              <w:adjustRightInd/>
              <w:snapToGrid w:val="0"/>
              <w:spacing w:before="0" w:after="0" w:line="240" w:lineRule="auto"/>
              <w:jc w:val="center"/>
              <w:textAlignment w:val="auto"/>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4.9</w:t>
            </w:r>
          </w:p>
        </w:tc>
      </w:tr>
      <w:tr w14:paraId="2C5B23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969" w:type="pct"/>
            <w:tcBorders>
              <w:tl2br w:val="nil"/>
              <w:tr2bl w:val="nil"/>
            </w:tcBorders>
            <w:shd w:val="clear" w:color="auto" w:fill="auto"/>
            <w:noWrap w:val="0"/>
            <w:vAlign w:val="center"/>
          </w:tcPr>
          <w:p w14:paraId="30511B3A">
            <w:pPr>
              <w:pStyle w:val="34"/>
              <w:keepNext w:val="0"/>
              <w:keepLines w:val="0"/>
              <w:pageBreakBefore w:val="0"/>
              <w:kinsoku/>
              <w:wordWrap/>
              <w:overflowPunct/>
              <w:topLinePunct w:val="0"/>
              <w:autoSpaceDE/>
              <w:autoSpaceDN/>
              <w:bidi w:val="0"/>
              <w:snapToGrid w:val="0"/>
              <w:spacing w:before="0" w:after="0" w:line="240" w:lineRule="auto"/>
              <w:textAlignment w:val="auto"/>
              <w:rPr>
                <w:rFonts w:hint="default" w:ascii="宋体" w:hAnsi="宋体" w:eastAsia="宋体" w:cs="宋体"/>
                <w:b w:val="0"/>
                <w:bCs w:val="0"/>
                <w:color w:val="000000"/>
                <w:kern w:val="2"/>
                <w:sz w:val="21"/>
                <w:szCs w:val="21"/>
                <w:lang w:val="en-US" w:eastAsia="zh-CN" w:bidi="ar-SA"/>
              </w:rPr>
            </w:pPr>
            <w:r>
              <w:rPr>
                <w:rFonts w:hint="eastAsia" w:ascii="宋体" w:hAnsi="宋体" w:eastAsia="宋体" w:cs="宋体"/>
                <w:color w:val="000000"/>
                <w:kern w:val="0"/>
                <w:sz w:val="21"/>
                <w:szCs w:val="21"/>
                <w:lang w:val="en-US" w:eastAsia="zh-CN" w:bidi="ar"/>
              </w:rPr>
              <w:t>H</w:t>
            </w:r>
            <w:r>
              <w:rPr>
                <w:rFonts w:hint="eastAsia" w:ascii="宋体" w:hAnsi="宋体" w:eastAsia="宋体" w:cs="宋体"/>
                <w:color w:val="000000"/>
                <w:kern w:val="0"/>
                <w:sz w:val="21"/>
                <w:szCs w:val="21"/>
                <w:vertAlign w:val="subscript"/>
                <w:lang w:val="en-US" w:eastAsia="zh-CN" w:bidi="ar"/>
              </w:rPr>
              <w:t>2</w:t>
            </w:r>
            <w:r>
              <w:rPr>
                <w:rFonts w:hint="eastAsia" w:ascii="宋体" w:hAnsi="宋体" w:eastAsia="宋体" w:cs="宋体"/>
                <w:color w:val="000000"/>
                <w:kern w:val="0"/>
                <w:sz w:val="21"/>
                <w:szCs w:val="21"/>
                <w:lang w:val="en-US" w:eastAsia="zh-CN" w:bidi="ar"/>
              </w:rPr>
              <w:t>S</w:t>
            </w:r>
          </w:p>
        </w:tc>
        <w:tc>
          <w:tcPr>
            <w:tcW w:w="1324" w:type="pct"/>
            <w:tcBorders>
              <w:tl2br w:val="nil"/>
              <w:tr2bl w:val="nil"/>
            </w:tcBorders>
            <w:shd w:val="clear" w:color="auto" w:fill="auto"/>
            <w:noWrap w:val="0"/>
            <w:vAlign w:val="center"/>
          </w:tcPr>
          <w:p w14:paraId="4BF88A5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0.06</w:t>
            </w:r>
          </w:p>
        </w:tc>
        <w:tc>
          <w:tcPr>
            <w:tcW w:w="1432" w:type="pct"/>
            <w:vMerge w:val="continue"/>
            <w:tcBorders>
              <w:tl2br w:val="nil"/>
              <w:tr2bl w:val="nil"/>
            </w:tcBorders>
            <w:noWrap w:val="0"/>
            <w:vAlign w:val="center"/>
          </w:tcPr>
          <w:p w14:paraId="2E95FCCA">
            <w:pPr>
              <w:keepNext w:val="0"/>
              <w:keepLines w:val="0"/>
              <w:pageBreakBefore w:val="0"/>
              <w:widowControl/>
              <w:kinsoku/>
              <w:wordWrap/>
              <w:overflowPunct/>
              <w:topLinePunct w:val="0"/>
              <w:autoSpaceDE/>
              <w:autoSpaceDN/>
              <w:bidi w:val="0"/>
              <w:adjustRightInd/>
              <w:snapToGrid w:val="0"/>
              <w:spacing w:before="0" w:after="0" w:line="240" w:lineRule="auto"/>
              <w:jc w:val="center"/>
              <w:textAlignment w:val="auto"/>
              <w:rPr>
                <w:rFonts w:hint="eastAsia" w:ascii="宋体" w:hAnsi="宋体" w:eastAsia="宋体" w:cs="宋体"/>
                <w:b w:val="0"/>
                <w:bCs w:val="0"/>
                <w:color w:val="000000"/>
                <w:sz w:val="21"/>
                <w:szCs w:val="21"/>
              </w:rPr>
            </w:pPr>
          </w:p>
        </w:tc>
        <w:tc>
          <w:tcPr>
            <w:tcW w:w="1274" w:type="pct"/>
            <w:tcBorders>
              <w:tl2br w:val="nil"/>
              <w:tr2bl w:val="nil"/>
            </w:tcBorders>
            <w:noWrap w:val="0"/>
            <w:vAlign w:val="center"/>
          </w:tcPr>
          <w:p w14:paraId="2B8B9971">
            <w:pPr>
              <w:keepNext w:val="0"/>
              <w:keepLines w:val="0"/>
              <w:pageBreakBefore w:val="0"/>
              <w:widowControl/>
              <w:kinsoku/>
              <w:wordWrap/>
              <w:overflowPunct/>
              <w:topLinePunct w:val="0"/>
              <w:autoSpaceDE/>
              <w:autoSpaceDN/>
              <w:bidi w:val="0"/>
              <w:adjustRightInd/>
              <w:snapToGrid w:val="0"/>
              <w:spacing w:before="0" w:after="0" w:line="240" w:lineRule="auto"/>
              <w:jc w:val="center"/>
              <w:textAlignment w:val="auto"/>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0.33</w:t>
            </w:r>
          </w:p>
        </w:tc>
      </w:tr>
      <w:tr w14:paraId="15AA00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969" w:type="pct"/>
            <w:tcBorders>
              <w:tl2br w:val="nil"/>
              <w:tr2bl w:val="nil"/>
            </w:tcBorders>
            <w:shd w:val="clear" w:color="auto" w:fill="auto"/>
            <w:noWrap w:val="0"/>
            <w:vAlign w:val="center"/>
          </w:tcPr>
          <w:p w14:paraId="06F21681">
            <w:pPr>
              <w:pStyle w:val="34"/>
              <w:keepNext w:val="0"/>
              <w:keepLines w:val="0"/>
              <w:pageBreakBefore w:val="0"/>
              <w:kinsoku/>
              <w:wordWrap/>
              <w:overflowPunct/>
              <w:topLinePunct w:val="0"/>
              <w:autoSpaceDE/>
              <w:autoSpaceDN/>
              <w:bidi w:val="0"/>
              <w:snapToGrid w:val="0"/>
              <w:spacing w:before="0" w:after="0" w:line="240" w:lineRule="auto"/>
              <w:textAlignment w:val="auto"/>
              <w:rPr>
                <w:rFonts w:hint="eastAsia" w:ascii="宋体" w:hAnsi="宋体" w:eastAsia="宋体" w:cs="宋体"/>
                <w:color w:val="000000"/>
                <w:kern w:val="0"/>
                <w:sz w:val="21"/>
                <w:szCs w:val="21"/>
                <w:lang w:val="en-US" w:eastAsia="zh-CN" w:bidi="ar"/>
              </w:rPr>
            </w:pPr>
            <w:r>
              <w:rPr>
                <w:rFonts w:hint="eastAsia" w:hAnsi="宋体" w:cs="宋体"/>
                <w:color w:val="000000"/>
                <w:kern w:val="0"/>
                <w:sz w:val="21"/>
                <w:szCs w:val="21"/>
                <w:lang w:val="en-US" w:eastAsia="zh-CN" w:bidi="ar"/>
              </w:rPr>
              <w:t>臭气浓度</w:t>
            </w:r>
          </w:p>
        </w:tc>
        <w:tc>
          <w:tcPr>
            <w:tcW w:w="1324" w:type="pct"/>
            <w:tcBorders>
              <w:tl2br w:val="nil"/>
              <w:tr2bl w:val="nil"/>
            </w:tcBorders>
            <w:shd w:val="clear" w:color="auto" w:fill="auto"/>
            <w:noWrap w:val="0"/>
            <w:vAlign w:val="center"/>
          </w:tcPr>
          <w:p w14:paraId="72D243A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20</w:t>
            </w:r>
          </w:p>
        </w:tc>
        <w:tc>
          <w:tcPr>
            <w:tcW w:w="1432" w:type="pct"/>
            <w:vMerge w:val="continue"/>
            <w:tcBorders>
              <w:tl2br w:val="nil"/>
              <w:tr2bl w:val="nil"/>
            </w:tcBorders>
            <w:noWrap w:val="0"/>
            <w:vAlign w:val="center"/>
          </w:tcPr>
          <w:p w14:paraId="7B8454F8">
            <w:pPr>
              <w:keepNext w:val="0"/>
              <w:keepLines w:val="0"/>
              <w:pageBreakBefore w:val="0"/>
              <w:widowControl/>
              <w:kinsoku/>
              <w:wordWrap/>
              <w:overflowPunct/>
              <w:topLinePunct w:val="0"/>
              <w:autoSpaceDE/>
              <w:autoSpaceDN/>
              <w:bidi w:val="0"/>
              <w:adjustRightInd/>
              <w:snapToGrid w:val="0"/>
              <w:spacing w:before="0" w:after="0" w:line="240" w:lineRule="auto"/>
              <w:jc w:val="center"/>
              <w:textAlignment w:val="auto"/>
              <w:rPr>
                <w:rFonts w:hint="eastAsia" w:ascii="宋体" w:hAnsi="宋体" w:eastAsia="宋体" w:cs="宋体"/>
                <w:b w:val="0"/>
                <w:bCs w:val="0"/>
                <w:color w:val="000000"/>
                <w:sz w:val="21"/>
                <w:szCs w:val="21"/>
              </w:rPr>
            </w:pPr>
          </w:p>
        </w:tc>
        <w:tc>
          <w:tcPr>
            <w:tcW w:w="1274" w:type="pct"/>
            <w:tcBorders>
              <w:tl2br w:val="nil"/>
              <w:tr2bl w:val="nil"/>
            </w:tcBorders>
            <w:noWrap w:val="0"/>
            <w:vAlign w:val="center"/>
          </w:tcPr>
          <w:p w14:paraId="1A181ED5">
            <w:pPr>
              <w:keepNext w:val="0"/>
              <w:keepLines w:val="0"/>
              <w:pageBreakBefore w:val="0"/>
              <w:widowControl/>
              <w:kinsoku/>
              <w:wordWrap/>
              <w:overflowPunct/>
              <w:topLinePunct w:val="0"/>
              <w:autoSpaceDE/>
              <w:autoSpaceDN/>
              <w:bidi w:val="0"/>
              <w:adjustRightInd/>
              <w:snapToGrid w:val="0"/>
              <w:spacing w:before="0" w:after="0" w:line="240" w:lineRule="auto"/>
              <w:jc w:val="center"/>
              <w:textAlignment w:val="auto"/>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2000（无量纲）</w:t>
            </w:r>
          </w:p>
        </w:tc>
      </w:tr>
    </w:tbl>
    <w:p w14:paraId="1518BF9E">
      <w:pPr>
        <w:pStyle w:val="9"/>
        <w:keepNext w:val="0"/>
        <w:keepLines w:val="0"/>
        <w:pageBreakBefore w:val="0"/>
        <w:widowControl w:val="0"/>
        <w:kinsoku/>
        <w:wordWrap/>
        <w:overflowPunct/>
        <w:topLinePunct w:val="0"/>
        <w:autoSpaceDE/>
        <w:autoSpaceDN/>
        <w:bidi w:val="0"/>
        <w:adjustRightInd/>
        <w:snapToGrid w:val="0"/>
        <w:spacing w:after="0" w:line="360" w:lineRule="auto"/>
        <w:ind w:left="0" w:leftChars="0" w:firstLine="0" w:firstLineChars="0"/>
        <w:jc w:val="both"/>
        <w:textAlignment w:val="auto"/>
        <w:outlineLvl w:val="1"/>
        <w:rPr>
          <w:rFonts w:hint="eastAsia" w:ascii="宋体" w:hAnsi="宋体" w:eastAsia="宋体" w:cs="宋体"/>
          <w:b/>
          <w:bCs/>
          <w:color w:val="000000"/>
          <w:kern w:val="0"/>
          <w:sz w:val="28"/>
          <w:szCs w:val="28"/>
          <w:lang w:val="en-US" w:eastAsia="zh-CN" w:bidi="ar"/>
        </w:rPr>
      </w:pPr>
      <w:bookmarkStart w:id="48" w:name="_Toc167"/>
      <w:r>
        <w:rPr>
          <w:rFonts w:hint="eastAsia" w:ascii="宋体" w:hAnsi="宋体" w:eastAsia="宋体" w:cs="宋体"/>
          <w:b/>
          <w:bCs/>
          <w:color w:val="000000"/>
          <w:kern w:val="0"/>
          <w:sz w:val="28"/>
          <w:szCs w:val="28"/>
          <w:lang w:val="en-US" w:eastAsia="zh-CN" w:bidi="ar"/>
        </w:rPr>
        <w:t>6.3  废水</w:t>
      </w:r>
      <w:bookmarkEnd w:id="48"/>
    </w:p>
    <w:p w14:paraId="50B746EC">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项目出水水质执行《城镇污水处理厂污染物排放标准》（GB18918-2002）一级标准中的A标准，具体数值见表6</w:t>
      </w:r>
      <w:r>
        <w:rPr>
          <w:rFonts w:hint="eastAsia" w:ascii="宋体" w:hAnsi="宋体" w:cs="宋体"/>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w:t>
      </w:r>
      <w:r>
        <w:rPr>
          <w:rFonts w:hint="eastAsia" w:ascii="宋体" w:hAnsi="宋体" w:cs="宋体"/>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w:t>
      </w:r>
    </w:p>
    <w:p w14:paraId="6594294E">
      <w:pPr>
        <w:keepNext w:val="0"/>
        <w:keepLines w:val="0"/>
        <w:widowControl/>
        <w:suppressLineNumbers w:val="0"/>
        <w:jc w:val="center"/>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表6</w:t>
      </w:r>
      <w:r>
        <w:rPr>
          <w:rFonts w:hint="eastAsia" w:ascii="宋体" w:hAnsi="宋体" w:cs="宋体"/>
          <w:b/>
          <w:bCs/>
          <w:color w:val="000000"/>
          <w:kern w:val="0"/>
          <w:sz w:val="24"/>
          <w:szCs w:val="24"/>
          <w:lang w:val="en-US" w:eastAsia="zh-CN" w:bidi="ar"/>
        </w:rPr>
        <w:t>.3</w:t>
      </w:r>
      <w:r>
        <w:rPr>
          <w:rFonts w:hint="eastAsia" w:ascii="宋体" w:hAnsi="宋体" w:eastAsia="宋体" w:cs="宋体"/>
          <w:b/>
          <w:bCs/>
          <w:color w:val="000000"/>
          <w:kern w:val="0"/>
          <w:sz w:val="24"/>
          <w:szCs w:val="24"/>
          <w:lang w:val="en-US" w:eastAsia="zh-CN" w:bidi="ar"/>
        </w:rPr>
        <w:t>-</w:t>
      </w:r>
      <w:r>
        <w:rPr>
          <w:rFonts w:hint="eastAsia" w:ascii="宋体" w:hAnsi="宋体" w:cs="宋体"/>
          <w:b/>
          <w:bCs/>
          <w:color w:val="000000"/>
          <w:kern w:val="0"/>
          <w:sz w:val="24"/>
          <w:szCs w:val="24"/>
          <w:lang w:val="en-US" w:eastAsia="zh-CN" w:bidi="ar"/>
        </w:rPr>
        <w:t>1</w:t>
      </w:r>
      <w:r>
        <w:rPr>
          <w:rFonts w:hint="eastAsia" w:ascii="宋体" w:hAnsi="宋体" w:eastAsia="宋体" w:cs="宋体"/>
          <w:b/>
          <w:bCs/>
          <w:color w:val="000000"/>
          <w:kern w:val="0"/>
          <w:sz w:val="24"/>
          <w:szCs w:val="24"/>
          <w:lang w:val="en-US" w:eastAsia="zh-CN" w:bidi="ar"/>
        </w:rPr>
        <w:t xml:space="preserve">  城镇污水处理厂污染物排放标准一级 A 标准（mg/L，pH为无量纲）</w:t>
      </w:r>
    </w:p>
    <w:tbl>
      <w:tblPr>
        <w:tblStyle w:val="1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57"/>
        <w:gridCol w:w="2782"/>
        <w:gridCol w:w="3583"/>
      </w:tblGrid>
      <w:tr w14:paraId="2D2CE9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5" w:type="pct"/>
            <w:tcBorders>
              <w:tl2br w:val="nil"/>
              <w:tr2bl w:val="nil"/>
            </w:tcBorders>
            <w:noWrap w:val="0"/>
            <w:vAlign w:val="center"/>
          </w:tcPr>
          <w:p w14:paraId="5504F5D3">
            <w:pPr>
              <w:pStyle w:val="34"/>
              <w:keepNext w:val="0"/>
              <w:keepLines w:val="0"/>
              <w:pageBreakBefore w:val="0"/>
              <w:kinsoku/>
              <w:wordWrap/>
              <w:overflowPunct/>
              <w:topLinePunct w:val="0"/>
              <w:autoSpaceDE/>
              <w:autoSpaceDN/>
              <w:bidi w:val="0"/>
              <w:snapToGrid w:val="0"/>
              <w:spacing w:before="0" w:after="0" w:line="240" w:lineRule="auto"/>
              <w:jc w:val="center"/>
              <w:textAlignment w:val="auto"/>
              <w:rPr>
                <w:rFonts w:hint="eastAsia" w:ascii="宋体" w:hAnsi="宋体" w:eastAsia="宋体" w:cs="宋体"/>
                <w:b/>
                <w:bCs/>
                <w:color w:val="000000"/>
                <w:sz w:val="21"/>
                <w:szCs w:val="21"/>
                <w:lang w:eastAsia="zh-CN"/>
              </w:rPr>
            </w:pPr>
            <w:r>
              <w:rPr>
                <w:rFonts w:hint="eastAsia" w:hAnsi="宋体" w:cs="宋体"/>
                <w:b/>
                <w:bCs/>
                <w:color w:val="000000"/>
                <w:sz w:val="21"/>
                <w:szCs w:val="21"/>
                <w:lang w:val="en-US" w:eastAsia="zh-CN"/>
              </w:rPr>
              <w:t>污染物</w:t>
            </w:r>
          </w:p>
        </w:tc>
        <w:tc>
          <w:tcPr>
            <w:tcW w:w="1632" w:type="pct"/>
            <w:tcBorders>
              <w:tl2br w:val="nil"/>
              <w:tr2bl w:val="nil"/>
            </w:tcBorders>
            <w:noWrap w:val="0"/>
            <w:vAlign w:val="center"/>
          </w:tcPr>
          <w:p w14:paraId="5D93BB0B">
            <w:pPr>
              <w:keepNext w:val="0"/>
              <w:keepLines w:val="0"/>
              <w:widowControl/>
              <w:suppressLineNumbers w:val="0"/>
              <w:jc w:val="center"/>
              <w:rPr>
                <w:rFonts w:hint="default" w:ascii="宋体" w:hAnsi="宋体" w:eastAsia="宋体" w:cs="宋体"/>
                <w:b/>
                <w:bCs/>
                <w:color w:val="000000"/>
                <w:kern w:val="2"/>
                <w:sz w:val="21"/>
                <w:szCs w:val="21"/>
                <w:lang w:val="en-US" w:eastAsia="zh-CN" w:bidi="ar-SA"/>
              </w:rPr>
            </w:pPr>
            <w:r>
              <w:rPr>
                <w:rFonts w:hint="eastAsia" w:ascii="宋体" w:hAnsi="宋体" w:eastAsia="宋体" w:cs="宋体"/>
                <w:b/>
                <w:bCs/>
                <w:color w:val="000000"/>
                <w:kern w:val="2"/>
                <w:sz w:val="21"/>
                <w:szCs w:val="21"/>
                <w:lang w:val="en-US" w:eastAsia="zh-CN" w:bidi="ar-SA"/>
              </w:rPr>
              <w:t>标准限值（mg/L）</w:t>
            </w:r>
          </w:p>
        </w:tc>
        <w:tc>
          <w:tcPr>
            <w:tcW w:w="2102" w:type="pct"/>
            <w:tcBorders>
              <w:tl2br w:val="nil"/>
              <w:tr2bl w:val="nil"/>
            </w:tcBorders>
            <w:noWrap w:val="0"/>
            <w:vAlign w:val="center"/>
          </w:tcPr>
          <w:p w14:paraId="6BBDD6EB">
            <w:pPr>
              <w:keepNext w:val="0"/>
              <w:keepLines w:val="0"/>
              <w:widowControl/>
              <w:suppressLineNumbers w:val="0"/>
              <w:jc w:val="center"/>
              <w:rPr>
                <w:rFonts w:hint="default" w:ascii="宋体" w:hAnsi="宋体" w:eastAsia="宋体" w:cs="宋体"/>
                <w:b/>
                <w:bCs/>
                <w:color w:val="000000"/>
                <w:kern w:val="2"/>
                <w:sz w:val="21"/>
                <w:szCs w:val="21"/>
                <w:lang w:val="en-US" w:eastAsia="zh-CN" w:bidi="ar-SA"/>
              </w:rPr>
            </w:pPr>
            <w:r>
              <w:rPr>
                <w:rFonts w:hint="eastAsia" w:ascii="宋体" w:hAnsi="宋体" w:eastAsia="宋体" w:cs="宋体"/>
                <w:b/>
                <w:bCs/>
                <w:color w:val="000000"/>
                <w:kern w:val="2"/>
                <w:sz w:val="21"/>
                <w:szCs w:val="21"/>
                <w:lang w:val="en-US" w:eastAsia="zh-CN" w:bidi="ar-SA"/>
              </w:rPr>
              <w:t>执行标准</w:t>
            </w:r>
          </w:p>
        </w:tc>
      </w:tr>
      <w:tr w14:paraId="772905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1265" w:type="pct"/>
            <w:tcBorders>
              <w:tl2br w:val="nil"/>
              <w:tr2bl w:val="nil"/>
            </w:tcBorders>
            <w:shd w:val="clear" w:color="auto" w:fill="auto"/>
            <w:noWrap w:val="0"/>
            <w:vAlign w:val="center"/>
          </w:tcPr>
          <w:p w14:paraId="17B142A3">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pH</w:t>
            </w:r>
          </w:p>
        </w:tc>
        <w:tc>
          <w:tcPr>
            <w:tcW w:w="1632" w:type="pct"/>
            <w:tcBorders>
              <w:tl2br w:val="nil"/>
              <w:tr2bl w:val="nil"/>
            </w:tcBorders>
            <w:noWrap w:val="0"/>
            <w:vAlign w:val="center"/>
          </w:tcPr>
          <w:p w14:paraId="282C83DA">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6~9</w:t>
            </w:r>
          </w:p>
        </w:tc>
        <w:tc>
          <w:tcPr>
            <w:tcW w:w="2102" w:type="pct"/>
            <w:vMerge w:val="restart"/>
            <w:tcBorders>
              <w:tl2br w:val="nil"/>
              <w:tr2bl w:val="nil"/>
            </w:tcBorders>
            <w:noWrap w:val="0"/>
            <w:vAlign w:val="center"/>
          </w:tcPr>
          <w:p w14:paraId="41D662CA">
            <w:pPr>
              <w:keepNext w:val="0"/>
              <w:keepLines w:val="0"/>
              <w:widowControl/>
              <w:suppressLineNumbers w:val="0"/>
              <w:jc w:val="left"/>
              <w:rPr>
                <w:rFonts w:hint="default" w:hAnsi="宋体" w:cs="宋体"/>
                <w:b w:val="0"/>
                <w:bCs w:val="0"/>
                <w:color w:val="000000"/>
                <w:sz w:val="21"/>
                <w:szCs w:val="21"/>
                <w:lang w:val="en-US" w:eastAsia="zh-CN"/>
              </w:rPr>
            </w:pPr>
            <w:r>
              <w:rPr>
                <w:rFonts w:hint="eastAsia" w:ascii="宋体" w:hAnsi="宋体" w:eastAsia="宋体" w:cs="宋体"/>
                <w:b w:val="0"/>
                <w:bCs w:val="0"/>
                <w:color w:val="000000"/>
                <w:kern w:val="2"/>
                <w:sz w:val="21"/>
                <w:szCs w:val="21"/>
                <w:lang w:val="en-US" w:eastAsia="zh-CN" w:bidi="ar-SA"/>
              </w:rPr>
              <w:t>《城镇污水处理厂污染物排放标准》（GB18918-2002）一级标准中A 标准</w:t>
            </w:r>
          </w:p>
        </w:tc>
      </w:tr>
      <w:tr w14:paraId="7D5FB9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265" w:type="pct"/>
            <w:tcBorders>
              <w:tl2br w:val="nil"/>
              <w:tr2bl w:val="nil"/>
            </w:tcBorders>
            <w:shd w:val="clear" w:color="auto" w:fill="auto"/>
            <w:noWrap w:val="0"/>
            <w:vAlign w:val="center"/>
          </w:tcPr>
          <w:p w14:paraId="4666DC54">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COD</w:t>
            </w:r>
          </w:p>
        </w:tc>
        <w:tc>
          <w:tcPr>
            <w:tcW w:w="1632" w:type="pct"/>
            <w:tcBorders>
              <w:tl2br w:val="nil"/>
              <w:tr2bl w:val="nil"/>
            </w:tcBorders>
            <w:noWrap w:val="0"/>
            <w:vAlign w:val="center"/>
          </w:tcPr>
          <w:p w14:paraId="29B72A55">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50</w:t>
            </w:r>
          </w:p>
        </w:tc>
        <w:tc>
          <w:tcPr>
            <w:tcW w:w="2102" w:type="pct"/>
            <w:vMerge w:val="continue"/>
            <w:tcBorders>
              <w:tl2br w:val="nil"/>
              <w:tr2bl w:val="nil"/>
            </w:tcBorders>
            <w:noWrap w:val="0"/>
            <w:vAlign w:val="center"/>
          </w:tcPr>
          <w:p w14:paraId="4A0ADCF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 w:val="0"/>
                <w:bCs w:val="0"/>
                <w:color w:val="000000"/>
                <w:kern w:val="2"/>
                <w:sz w:val="21"/>
                <w:szCs w:val="21"/>
                <w:lang w:val="en-US" w:eastAsia="zh-CN" w:bidi="ar-SA"/>
              </w:rPr>
            </w:pPr>
          </w:p>
        </w:tc>
      </w:tr>
      <w:tr w14:paraId="48CBA8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265" w:type="pct"/>
            <w:tcBorders>
              <w:tl2br w:val="nil"/>
              <w:tr2bl w:val="nil"/>
            </w:tcBorders>
            <w:shd w:val="clear" w:color="auto" w:fill="auto"/>
            <w:noWrap w:val="0"/>
            <w:vAlign w:val="center"/>
          </w:tcPr>
          <w:p w14:paraId="147CD62D">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BOD5</w:t>
            </w:r>
          </w:p>
        </w:tc>
        <w:tc>
          <w:tcPr>
            <w:tcW w:w="1632" w:type="pct"/>
            <w:tcBorders>
              <w:tl2br w:val="nil"/>
              <w:tr2bl w:val="nil"/>
            </w:tcBorders>
            <w:noWrap w:val="0"/>
            <w:vAlign w:val="center"/>
          </w:tcPr>
          <w:p w14:paraId="652FE30C">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10</w:t>
            </w:r>
          </w:p>
        </w:tc>
        <w:tc>
          <w:tcPr>
            <w:tcW w:w="2102" w:type="pct"/>
            <w:vMerge w:val="continue"/>
            <w:tcBorders>
              <w:tl2br w:val="nil"/>
              <w:tr2bl w:val="nil"/>
            </w:tcBorders>
            <w:noWrap w:val="0"/>
            <w:vAlign w:val="center"/>
          </w:tcPr>
          <w:p w14:paraId="69E0B2B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000000"/>
                <w:kern w:val="2"/>
                <w:sz w:val="21"/>
                <w:szCs w:val="21"/>
                <w:lang w:val="en-US" w:eastAsia="zh-CN" w:bidi="ar-SA"/>
              </w:rPr>
            </w:pPr>
          </w:p>
        </w:tc>
      </w:tr>
      <w:tr w14:paraId="02C2A2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265" w:type="pct"/>
            <w:tcBorders>
              <w:tl2br w:val="nil"/>
              <w:tr2bl w:val="nil"/>
            </w:tcBorders>
            <w:shd w:val="clear" w:color="auto" w:fill="auto"/>
            <w:noWrap w:val="0"/>
            <w:vAlign w:val="center"/>
          </w:tcPr>
          <w:p w14:paraId="2E716BCA">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SS</w:t>
            </w:r>
          </w:p>
        </w:tc>
        <w:tc>
          <w:tcPr>
            <w:tcW w:w="1632" w:type="pct"/>
            <w:tcBorders>
              <w:tl2br w:val="nil"/>
              <w:tr2bl w:val="nil"/>
            </w:tcBorders>
            <w:noWrap w:val="0"/>
            <w:vAlign w:val="center"/>
          </w:tcPr>
          <w:p w14:paraId="5C09CAE6">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10</w:t>
            </w:r>
          </w:p>
        </w:tc>
        <w:tc>
          <w:tcPr>
            <w:tcW w:w="2102" w:type="pct"/>
            <w:vMerge w:val="continue"/>
            <w:tcBorders>
              <w:tl2br w:val="nil"/>
              <w:tr2bl w:val="nil"/>
            </w:tcBorders>
            <w:noWrap w:val="0"/>
            <w:vAlign w:val="center"/>
          </w:tcPr>
          <w:p w14:paraId="7FD897F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000000"/>
                <w:kern w:val="2"/>
                <w:sz w:val="21"/>
                <w:szCs w:val="21"/>
                <w:lang w:val="en-US" w:eastAsia="zh-CN" w:bidi="ar-SA"/>
              </w:rPr>
            </w:pPr>
          </w:p>
        </w:tc>
      </w:tr>
      <w:tr w14:paraId="1A7A17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265" w:type="pct"/>
            <w:tcBorders>
              <w:tl2br w:val="nil"/>
              <w:tr2bl w:val="nil"/>
            </w:tcBorders>
            <w:shd w:val="clear" w:color="auto" w:fill="auto"/>
            <w:noWrap w:val="0"/>
            <w:vAlign w:val="center"/>
          </w:tcPr>
          <w:p w14:paraId="745C0BF5">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氨氮</w:t>
            </w:r>
          </w:p>
        </w:tc>
        <w:tc>
          <w:tcPr>
            <w:tcW w:w="1632" w:type="pct"/>
            <w:tcBorders>
              <w:tl2br w:val="nil"/>
              <w:tr2bl w:val="nil"/>
            </w:tcBorders>
            <w:noWrap w:val="0"/>
            <w:vAlign w:val="center"/>
          </w:tcPr>
          <w:p w14:paraId="266E5FAC">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5</w:t>
            </w:r>
          </w:p>
        </w:tc>
        <w:tc>
          <w:tcPr>
            <w:tcW w:w="2102" w:type="pct"/>
            <w:vMerge w:val="continue"/>
            <w:tcBorders>
              <w:tl2br w:val="nil"/>
              <w:tr2bl w:val="nil"/>
            </w:tcBorders>
            <w:noWrap w:val="0"/>
            <w:vAlign w:val="center"/>
          </w:tcPr>
          <w:p w14:paraId="562E26B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000000"/>
                <w:kern w:val="2"/>
                <w:sz w:val="21"/>
                <w:szCs w:val="21"/>
                <w:lang w:val="en-US" w:eastAsia="zh-CN" w:bidi="ar-SA"/>
              </w:rPr>
            </w:pPr>
          </w:p>
        </w:tc>
      </w:tr>
      <w:tr w14:paraId="14C17C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265" w:type="pct"/>
            <w:tcBorders>
              <w:tl2br w:val="nil"/>
              <w:tr2bl w:val="nil"/>
            </w:tcBorders>
            <w:shd w:val="clear" w:color="auto" w:fill="auto"/>
            <w:noWrap w:val="0"/>
            <w:vAlign w:val="center"/>
          </w:tcPr>
          <w:p w14:paraId="683AC72A">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TN</w:t>
            </w:r>
          </w:p>
        </w:tc>
        <w:tc>
          <w:tcPr>
            <w:tcW w:w="1632" w:type="pct"/>
            <w:tcBorders>
              <w:tl2br w:val="nil"/>
              <w:tr2bl w:val="nil"/>
            </w:tcBorders>
            <w:noWrap w:val="0"/>
            <w:vAlign w:val="center"/>
          </w:tcPr>
          <w:p w14:paraId="59429EA2">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15</w:t>
            </w:r>
          </w:p>
        </w:tc>
        <w:tc>
          <w:tcPr>
            <w:tcW w:w="2102" w:type="pct"/>
            <w:vMerge w:val="continue"/>
            <w:tcBorders>
              <w:tl2br w:val="nil"/>
              <w:tr2bl w:val="nil"/>
            </w:tcBorders>
            <w:noWrap w:val="0"/>
            <w:vAlign w:val="center"/>
          </w:tcPr>
          <w:p w14:paraId="66C1AD4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000000"/>
                <w:kern w:val="2"/>
                <w:sz w:val="21"/>
                <w:szCs w:val="21"/>
                <w:lang w:val="en-US" w:eastAsia="zh-CN" w:bidi="ar-SA"/>
              </w:rPr>
            </w:pPr>
          </w:p>
        </w:tc>
      </w:tr>
      <w:tr w14:paraId="23B41B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265" w:type="pct"/>
            <w:tcBorders>
              <w:tl2br w:val="nil"/>
              <w:tr2bl w:val="nil"/>
            </w:tcBorders>
            <w:shd w:val="clear" w:color="auto" w:fill="auto"/>
            <w:noWrap w:val="0"/>
            <w:vAlign w:val="center"/>
          </w:tcPr>
          <w:p w14:paraId="5A52050F">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TP</w:t>
            </w:r>
          </w:p>
        </w:tc>
        <w:tc>
          <w:tcPr>
            <w:tcW w:w="1632" w:type="pct"/>
            <w:tcBorders>
              <w:tl2br w:val="nil"/>
              <w:tr2bl w:val="nil"/>
            </w:tcBorders>
            <w:noWrap w:val="0"/>
            <w:vAlign w:val="center"/>
          </w:tcPr>
          <w:p w14:paraId="551C6CF8">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0.5</w:t>
            </w:r>
          </w:p>
        </w:tc>
        <w:tc>
          <w:tcPr>
            <w:tcW w:w="2102" w:type="pct"/>
            <w:vMerge w:val="continue"/>
            <w:tcBorders>
              <w:tl2br w:val="nil"/>
              <w:tr2bl w:val="nil"/>
            </w:tcBorders>
            <w:noWrap w:val="0"/>
            <w:vAlign w:val="center"/>
          </w:tcPr>
          <w:p w14:paraId="65F9B04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000000"/>
                <w:kern w:val="2"/>
                <w:sz w:val="21"/>
                <w:szCs w:val="21"/>
                <w:lang w:val="en-US" w:eastAsia="zh-CN" w:bidi="ar-SA"/>
              </w:rPr>
            </w:pPr>
          </w:p>
        </w:tc>
      </w:tr>
      <w:tr w14:paraId="60DDB4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265" w:type="pct"/>
            <w:tcBorders>
              <w:tl2br w:val="nil"/>
              <w:tr2bl w:val="nil"/>
            </w:tcBorders>
            <w:shd w:val="clear" w:color="auto" w:fill="auto"/>
            <w:noWrap w:val="0"/>
            <w:vAlign w:val="center"/>
          </w:tcPr>
          <w:p w14:paraId="70CF162E">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粪大肠菌群</w:t>
            </w:r>
          </w:p>
        </w:tc>
        <w:tc>
          <w:tcPr>
            <w:tcW w:w="1632" w:type="pct"/>
            <w:tcBorders>
              <w:tl2br w:val="nil"/>
              <w:tr2bl w:val="nil"/>
            </w:tcBorders>
            <w:noWrap w:val="0"/>
            <w:vAlign w:val="center"/>
          </w:tcPr>
          <w:p w14:paraId="0D84FC36">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1000（个/L）</w:t>
            </w:r>
          </w:p>
        </w:tc>
        <w:tc>
          <w:tcPr>
            <w:tcW w:w="2102" w:type="pct"/>
            <w:vMerge w:val="continue"/>
            <w:tcBorders>
              <w:tl2br w:val="nil"/>
              <w:tr2bl w:val="nil"/>
            </w:tcBorders>
            <w:noWrap w:val="0"/>
            <w:vAlign w:val="center"/>
          </w:tcPr>
          <w:p w14:paraId="6D8EC68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000000"/>
                <w:kern w:val="2"/>
                <w:sz w:val="21"/>
                <w:szCs w:val="21"/>
                <w:lang w:val="en-US" w:eastAsia="zh-CN" w:bidi="ar-SA"/>
              </w:rPr>
            </w:pPr>
          </w:p>
        </w:tc>
      </w:tr>
      <w:tr w14:paraId="7AB49F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265" w:type="pct"/>
            <w:tcBorders>
              <w:tl2br w:val="nil"/>
              <w:tr2bl w:val="nil"/>
            </w:tcBorders>
            <w:shd w:val="clear" w:color="auto" w:fill="auto"/>
            <w:noWrap w:val="0"/>
            <w:vAlign w:val="center"/>
          </w:tcPr>
          <w:p w14:paraId="7686C3E7">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动植物油</w:t>
            </w:r>
          </w:p>
        </w:tc>
        <w:tc>
          <w:tcPr>
            <w:tcW w:w="1632" w:type="pct"/>
            <w:tcBorders>
              <w:tl2br w:val="nil"/>
              <w:tr2bl w:val="nil"/>
            </w:tcBorders>
            <w:noWrap w:val="0"/>
            <w:vAlign w:val="center"/>
          </w:tcPr>
          <w:p w14:paraId="7D4984FE">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1</w:t>
            </w:r>
          </w:p>
        </w:tc>
        <w:tc>
          <w:tcPr>
            <w:tcW w:w="2102" w:type="pct"/>
            <w:vMerge w:val="continue"/>
            <w:tcBorders>
              <w:tl2br w:val="nil"/>
              <w:tr2bl w:val="nil"/>
            </w:tcBorders>
            <w:noWrap w:val="0"/>
            <w:vAlign w:val="center"/>
          </w:tcPr>
          <w:p w14:paraId="303EF06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000000"/>
                <w:kern w:val="2"/>
                <w:sz w:val="21"/>
                <w:szCs w:val="21"/>
                <w:lang w:val="en-US" w:eastAsia="zh-CN" w:bidi="ar-SA"/>
              </w:rPr>
            </w:pPr>
          </w:p>
        </w:tc>
      </w:tr>
      <w:tr w14:paraId="15D37F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265" w:type="pct"/>
            <w:tcBorders>
              <w:tl2br w:val="nil"/>
              <w:tr2bl w:val="nil"/>
            </w:tcBorders>
            <w:shd w:val="clear" w:color="auto" w:fill="auto"/>
            <w:noWrap w:val="0"/>
            <w:vAlign w:val="center"/>
          </w:tcPr>
          <w:p w14:paraId="3F9A15E8">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石油类</w:t>
            </w:r>
          </w:p>
        </w:tc>
        <w:tc>
          <w:tcPr>
            <w:tcW w:w="1632" w:type="pct"/>
            <w:tcBorders>
              <w:tl2br w:val="nil"/>
              <w:tr2bl w:val="nil"/>
            </w:tcBorders>
            <w:noWrap w:val="0"/>
            <w:vAlign w:val="center"/>
          </w:tcPr>
          <w:p w14:paraId="54B73C74">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1</w:t>
            </w:r>
          </w:p>
        </w:tc>
        <w:tc>
          <w:tcPr>
            <w:tcW w:w="2102" w:type="pct"/>
            <w:vMerge w:val="continue"/>
            <w:tcBorders>
              <w:tl2br w:val="nil"/>
              <w:tr2bl w:val="nil"/>
            </w:tcBorders>
            <w:noWrap w:val="0"/>
            <w:vAlign w:val="center"/>
          </w:tcPr>
          <w:p w14:paraId="63B5B12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000000"/>
                <w:kern w:val="2"/>
                <w:sz w:val="21"/>
                <w:szCs w:val="21"/>
                <w:lang w:val="en-US" w:eastAsia="zh-CN" w:bidi="ar-SA"/>
              </w:rPr>
            </w:pPr>
          </w:p>
        </w:tc>
      </w:tr>
      <w:tr w14:paraId="5C6E90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265" w:type="pct"/>
            <w:tcBorders>
              <w:tl2br w:val="nil"/>
              <w:tr2bl w:val="nil"/>
            </w:tcBorders>
            <w:shd w:val="clear" w:color="auto" w:fill="auto"/>
            <w:noWrap w:val="0"/>
            <w:vAlign w:val="center"/>
          </w:tcPr>
          <w:p w14:paraId="6D671516">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氟化物</w:t>
            </w:r>
          </w:p>
        </w:tc>
        <w:tc>
          <w:tcPr>
            <w:tcW w:w="1632" w:type="pct"/>
            <w:tcBorders>
              <w:tl2br w:val="nil"/>
              <w:tr2bl w:val="nil"/>
            </w:tcBorders>
            <w:noWrap w:val="0"/>
            <w:vAlign w:val="center"/>
          </w:tcPr>
          <w:p w14:paraId="0F91165D">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1</w:t>
            </w:r>
          </w:p>
        </w:tc>
        <w:tc>
          <w:tcPr>
            <w:tcW w:w="2102" w:type="pct"/>
            <w:vMerge w:val="continue"/>
            <w:tcBorders>
              <w:tl2br w:val="nil"/>
              <w:tr2bl w:val="nil"/>
            </w:tcBorders>
            <w:noWrap w:val="0"/>
            <w:vAlign w:val="center"/>
          </w:tcPr>
          <w:p w14:paraId="3932D1C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000000"/>
                <w:kern w:val="2"/>
                <w:sz w:val="21"/>
                <w:szCs w:val="21"/>
                <w:lang w:val="en-US" w:eastAsia="zh-CN" w:bidi="ar-SA"/>
              </w:rPr>
            </w:pPr>
          </w:p>
        </w:tc>
      </w:tr>
    </w:tbl>
    <w:p w14:paraId="0E0F0844">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6.4  噪声</w:t>
      </w:r>
    </w:p>
    <w:p w14:paraId="0C353E7C">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运营期厂界噪声执行《工业企业厂界环境噪声排放标准》（GB12348-2008）中3类标准。敏感点的噪声执行《声环境质量标准》（GB3096-2008）2类标准。</w:t>
      </w:r>
    </w:p>
    <w:p w14:paraId="78977C4B">
      <w:pPr>
        <w:keepNext w:val="0"/>
        <w:keepLines w:val="0"/>
        <w:widowControl/>
        <w:suppressLineNumbers w:val="0"/>
        <w:jc w:val="center"/>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4"/>
          <w:szCs w:val="24"/>
          <w:lang w:val="en-US" w:eastAsia="zh-CN" w:bidi="ar"/>
        </w:rPr>
        <w:t>表6</w:t>
      </w:r>
      <w:r>
        <w:rPr>
          <w:rFonts w:hint="eastAsia" w:ascii="宋体" w:hAnsi="宋体" w:cs="宋体"/>
          <w:b/>
          <w:bCs/>
          <w:color w:val="000000"/>
          <w:kern w:val="0"/>
          <w:sz w:val="24"/>
          <w:szCs w:val="24"/>
          <w:lang w:val="en-US" w:eastAsia="zh-CN" w:bidi="ar"/>
        </w:rPr>
        <w:t>.4</w:t>
      </w:r>
      <w:r>
        <w:rPr>
          <w:rFonts w:hint="eastAsia" w:ascii="宋体" w:hAnsi="宋体" w:eastAsia="宋体" w:cs="宋体"/>
          <w:b/>
          <w:bCs/>
          <w:color w:val="000000"/>
          <w:kern w:val="0"/>
          <w:sz w:val="24"/>
          <w:szCs w:val="24"/>
          <w:lang w:val="en-US" w:eastAsia="zh-CN" w:bidi="ar"/>
        </w:rPr>
        <w:t>-</w:t>
      </w:r>
      <w:r>
        <w:rPr>
          <w:rFonts w:hint="eastAsia" w:ascii="宋体" w:hAnsi="宋体" w:cs="宋体"/>
          <w:b/>
          <w:bCs/>
          <w:color w:val="000000"/>
          <w:kern w:val="0"/>
          <w:sz w:val="24"/>
          <w:szCs w:val="24"/>
          <w:lang w:val="en-US" w:eastAsia="zh-CN" w:bidi="ar"/>
        </w:rPr>
        <w:t>1</w:t>
      </w:r>
      <w:r>
        <w:rPr>
          <w:rFonts w:hint="eastAsia" w:ascii="宋体" w:hAnsi="宋体" w:eastAsia="宋体" w:cs="宋体"/>
          <w:b/>
          <w:bCs/>
          <w:color w:val="000000"/>
          <w:kern w:val="0"/>
          <w:sz w:val="24"/>
          <w:szCs w:val="24"/>
          <w:lang w:val="en-US" w:eastAsia="zh-CN" w:bidi="ar"/>
        </w:rPr>
        <w:t xml:space="preserve">  噪声排放标准 单位：dB(A)</w:t>
      </w:r>
    </w:p>
    <w:tbl>
      <w:tblPr>
        <w:tblStyle w:val="1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2025"/>
        <w:gridCol w:w="1028"/>
        <w:gridCol w:w="1033"/>
        <w:gridCol w:w="3425"/>
      </w:tblGrid>
      <w:tr w14:paraId="458E90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592" w:type="pct"/>
            <w:vMerge w:val="restart"/>
            <w:tcBorders>
              <w:tl2br w:val="nil"/>
              <w:tr2bl w:val="nil"/>
            </w:tcBorders>
            <w:noWrap w:val="0"/>
            <w:vAlign w:val="center"/>
          </w:tcPr>
          <w:p w14:paraId="2F1EABEE">
            <w:pPr>
              <w:pStyle w:val="34"/>
              <w:keepNext w:val="0"/>
              <w:keepLines w:val="0"/>
              <w:pageBreakBefore w:val="0"/>
              <w:kinsoku/>
              <w:wordWrap/>
              <w:overflowPunct/>
              <w:topLinePunct w:val="0"/>
              <w:autoSpaceDE/>
              <w:autoSpaceDN/>
              <w:bidi w:val="0"/>
              <w:snapToGrid w:val="0"/>
              <w:spacing w:before="0" w:after="0" w:line="240" w:lineRule="auto"/>
              <w:jc w:val="center"/>
              <w:textAlignment w:val="auto"/>
              <w:rPr>
                <w:rFonts w:hint="eastAsia" w:ascii="宋体" w:hAnsi="宋体" w:eastAsia="宋体" w:cs="宋体"/>
                <w:b/>
                <w:bCs/>
                <w:color w:val="000000"/>
                <w:kern w:val="2"/>
                <w:sz w:val="21"/>
                <w:szCs w:val="21"/>
                <w:lang w:val="en-US" w:eastAsia="zh-CN" w:bidi="ar-SA"/>
              </w:rPr>
            </w:pPr>
            <w:r>
              <w:rPr>
                <w:rFonts w:hint="eastAsia" w:ascii="宋体" w:hAnsi="宋体" w:eastAsia="宋体" w:cs="宋体"/>
                <w:b/>
                <w:bCs/>
                <w:color w:val="000000"/>
                <w:kern w:val="2"/>
                <w:sz w:val="21"/>
                <w:szCs w:val="21"/>
                <w:lang w:val="en-US" w:eastAsia="zh-CN" w:bidi="ar-SA"/>
              </w:rPr>
              <w:t>位置</w:t>
            </w:r>
          </w:p>
        </w:tc>
        <w:tc>
          <w:tcPr>
            <w:tcW w:w="1188" w:type="pct"/>
            <w:vMerge w:val="restart"/>
            <w:tcBorders>
              <w:tl2br w:val="nil"/>
              <w:tr2bl w:val="nil"/>
            </w:tcBorders>
            <w:noWrap w:val="0"/>
            <w:vAlign w:val="center"/>
          </w:tcPr>
          <w:p w14:paraId="2658D836">
            <w:pPr>
              <w:keepNext w:val="0"/>
              <w:keepLines w:val="0"/>
              <w:widowControl/>
              <w:suppressLineNumbers w:val="0"/>
              <w:jc w:val="center"/>
              <w:rPr>
                <w:rFonts w:hint="default" w:ascii="宋体" w:hAnsi="宋体" w:eastAsia="宋体" w:cs="宋体"/>
                <w:b/>
                <w:bCs/>
                <w:color w:val="000000"/>
                <w:kern w:val="2"/>
                <w:sz w:val="21"/>
                <w:szCs w:val="21"/>
                <w:lang w:val="en-US" w:eastAsia="zh-CN" w:bidi="ar-SA"/>
              </w:rPr>
            </w:pPr>
            <w:r>
              <w:rPr>
                <w:rFonts w:hint="eastAsia" w:ascii="宋体" w:hAnsi="宋体" w:eastAsia="宋体" w:cs="宋体"/>
                <w:b/>
                <w:bCs/>
                <w:color w:val="000000"/>
                <w:kern w:val="2"/>
                <w:sz w:val="21"/>
                <w:szCs w:val="21"/>
                <w:lang w:val="en-US" w:eastAsia="zh-CN" w:bidi="ar-SA"/>
              </w:rPr>
              <w:t>功能类别</w:t>
            </w:r>
          </w:p>
        </w:tc>
        <w:tc>
          <w:tcPr>
            <w:tcW w:w="1209" w:type="pct"/>
            <w:gridSpan w:val="2"/>
            <w:tcBorders>
              <w:tl2br w:val="nil"/>
              <w:tr2bl w:val="nil"/>
            </w:tcBorders>
            <w:noWrap w:val="0"/>
            <w:vAlign w:val="center"/>
          </w:tcPr>
          <w:p w14:paraId="2F1D8F05">
            <w:pPr>
              <w:keepNext w:val="0"/>
              <w:keepLines w:val="0"/>
              <w:widowControl/>
              <w:suppressLineNumbers w:val="0"/>
              <w:jc w:val="center"/>
              <w:rPr>
                <w:rFonts w:hint="eastAsia" w:ascii="宋体" w:hAnsi="宋体" w:eastAsia="宋体" w:cs="宋体"/>
                <w:b/>
                <w:bCs/>
                <w:color w:val="000000"/>
                <w:kern w:val="2"/>
                <w:sz w:val="21"/>
                <w:szCs w:val="21"/>
                <w:lang w:val="en-US" w:eastAsia="zh-CN" w:bidi="ar-SA"/>
              </w:rPr>
            </w:pPr>
            <w:r>
              <w:rPr>
                <w:rFonts w:hint="eastAsia" w:ascii="宋体" w:hAnsi="宋体" w:eastAsia="宋体" w:cs="宋体"/>
                <w:b/>
                <w:bCs/>
                <w:color w:val="000000"/>
                <w:kern w:val="2"/>
                <w:sz w:val="21"/>
                <w:szCs w:val="21"/>
                <w:lang w:val="en-US" w:eastAsia="zh-CN" w:bidi="ar-SA"/>
              </w:rPr>
              <w:t>标准值</w:t>
            </w:r>
          </w:p>
        </w:tc>
        <w:tc>
          <w:tcPr>
            <w:tcW w:w="2010" w:type="pct"/>
            <w:vMerge w:val="restart"/>
            <w:tcBorders>
              <w:tl2br w:val="nil"/>
              <w:tr2bl w:val="nil"/>
            </w:tcBorders>
            <w:noWrap w:val="0"/>
            <w:vAlign w:val="center"/>
          </w:tcPr>
          <w:p w14:paraId="4A3F2BB0">
            <w:pPr>
              <w:keepNext w:val="0"/>
              <w:keepLines w:val="0"/>
              <w:widowControl/>
              <w:suppressLineNumbers w:val="0"/>
              <w:jc w:val="center"/>
              <w:rPr>
                <w:rFonts w:hint="default" w:ascii="宋体" w:hAnsi="宋体" w:eastAsia="宋体" w:cs="宋体"/>
                <w:b/>
                <w:bCs/>
                <w:color w:val="000000"/>
                <w:kern w:val="2"/>
                <w:sz w:val="21"/>
                <w:szCs w:val="21"/>
                <w:lang w:val="en-US" w:eastAsia="zh-CN" w:bidi="ar-SA"/>
              </w:rPr>
            </w:pPr>
            <w:r>
              <w:rPr>
                <w:rFonts w:hint="eastAsia" w:ascii="宋体" w:hAnsi="宋体" w:eastAsia="宋体" w:cs="宋体"/>
                <w:b/>
                <w:bCs/>
                <w:color w:val="000000"/>
                <w:kern w:val="2"/>
                <w:sz w:val="21"/>
                <w:szCs w:val="21"/>
                <w:lang w:val="en-US" w:eastAsia="zh-CN" w:bidi="ar-SA"/>
              </w:rPr>
              <w:t>执行标准</w:t>
            </w:r>
          </w:p>
        </w:tc>
      </w:tr>
      <w:tr w14:paraId="5CE775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2" w:type="pct"/>
            <w:vMerge w:val="continue"/>
            <w:tcBorders>
              <w:tl2br w:val="nil"/>
              <w:tr2bl w:val="nil"/>
            </w:tcBorders>
            <w:noWrap w:val="0"/>
            <w:vAlign w:val="center"/>
          </w:tcPr>
          <w:p w14:paraId="50CC9DD1">
            <w:pPr>
              <w:pStyle w:val="34"/>
              <w:keepNext w:val="0"/>
              <w:keepLines w:val="0"/>
              <w:pageBreakBefore w:val="0"/>
              <w:kinsoku/>
              <w:wordWrap/>
              <w:overflowPunct/>
              <w:topLinePunct w:val="0"/>
              <w:autoSpaceDE/>
              <w:autoSpaceDN/>
              <w:bidi w:val="0"/>
              <w:snapToGrid w:val="0"/>
              <w:spacing w:before="0" w:after="0" w:line="240" w:lineRule="auto"/>
              <w:jc w:val="center"/>
              <w:textAlignment w:val="auto"/>
              <w:rPr>
                <w:rFonts w:hint="eastAsia" w:ascii="宋体" w:hAnsi="宋体" w:eastAsia="宋体" w:cs="宋体"/>
                <w:b/>
                <w:bCs/>
                <w:color w:val="000000"/>
                <w:sz w:val="21"/>
                <w:szCs w:val="21"/>
                <w:lang w:eastAsia="zh-CN"/>
              </w:rPr>
            </w:pPr>
          </w:p>
        </w:tc>
        <w:tc>
          <w:tcPr>
            <w:tcW w:w="1188" w:type="pct"/>
            <w:vMerge w:val="continue"/>
            <w:tcBorders>
              <w:tl2br w:val="nil"/>
              <w:tr2bl w:val="nil"/>
            </w:tcBorders>
            <w:noWrap w:val="0"/>
            <w:vAlign w:val="center"/>
          </w:tcPr>
          <w:p w14:paraId="542DC579">
            <w:pPr>
              <w:keepNext w:val="0"/>
              <w:keepLines w:val="0"/>
              <w:widowControl/>
              <w:suppressLineNumbers w:val="0"/>
              <w:jc w:val="center"/>
              <w:rPr>
                <w:rFonts w:hint="default" w:ascii="宋体" w:hAnsi="宋体" w:eastAsia="宋体" w:cs="宋体"/>
                <w:b/>
                <w:bCs/>
                <w:color w:val="000000"/>
                <w:kern w:val="2"/>
                <w:sz w:val="21"/>
                <w:szCs w:val="21"/>
                <w:lang w:val="en-US" w:eastAsia="zh-CN" w:bidi="ar-SA"/>
              </w:rPr>
            </w:pPr>
          </w:p>
        </w:tc>
        <w:tc>
          <w:tcPr>
            <w:tcW w:w="603" w:type="pct"/>
            <w:tcBorders>
              <w:tl2br w:val="nil"/>
              <w:tr2bl w:val="nil"/>
            </w:tcBorders>
            <w:noWrap w:val="0"/>
            <w:vAlign w:val="center"/>
          </w:tcPr>
          <w:p w14:paraId="38A17742">
            <w:pPr>
              <w:keepNext w:val="0"/>
              <w:keepLines w:val="0"/>
              <w:widowControl/>
              <w:suppressLineNumbers w:val="0"/>
              <w:jc w:val="center"/>
              <w:rPr>
                <w:rFonts w:hint="eastAsia" w:ascii="宋体" w:hAnsi="宋体" w:eastAsia="宋体" w:cs="宋体"/>
                <w:b/>
                <w:bCs/>
                <w:color w:val="000000"/>
                <w:kern w:val="2"/>
                <w:sz w:val="21"/>
                <w:szCs w:val="21"/>
                <w:lang w:val="en-US" w:eastAsia="zh-CN" w:bidi="ar-SA"/>
              </w:rPr>
            </w:pPr>
            <w:r>
              <w:rPr>
                <w:rFonts w:hint="eastAsia" w:ascii="宋体" w:hAnsi="宋体" w:eastAsia="宋体" w:cs="宋体"/>
                <w:b/>
                <w:bCs/>
                <w:color w:val="000000"/>
                <w:kern w:val="2"/>
                <w:sz w:val="21"/>
                <w:szCs w:val="21"/>
                <w:lang w:val="en-US" w:eastAsia="zh-CN" w:bidi="ar-SA"/>
              </w:rPr>
              <w:t>昼间</w:t>
            </w:r>
          </w:p>
        </w:tc>
        <w:tc>
          <w:tcPr>
            <w:tcW w:w="605" w:type="pct"/>
            <w:tcBorders>
              <w:tl2br w:val="nil"/>
              <w:tr2bl w:val="nil"/>
            </w:tcBorders>
            <w:noWrap w:val="0"/>
            <w:vAlign w:val="center"/>
          </w:tcPr>
          <w:p w14:paraId="32B7E8D6">
            <w:pPr>
              <w:keepNext w:val="0"/>
              <w:keepLines w:val="0"/>
              <w:widowControl/>
              <w:suppressLineNumbers w:val="0"/>
              <w:jc w:val="center"/>
              <w:rPr>
                <w:rFonts w:hint="default" w:ascii="宋体" w:hAnsi="宋体" w:eastAsia="宋体" w:cs="宋体"/>
                <w:b/>
                <w:bCs/>
                <w:color w:val="000000"/>
                <w:kern w:val="2"/>
                <w:sz w:val="21"/>
                <w:szCs w:val="21"/>
                <w:lang w:val="en-US" w:eastAsia="zh-CN" w:bidi="ar-SA"/>
              </w:rPr>
            </w:pPr>
            <w:r>
              <w:rPr>
                <w:rFonts w:hint="eastAsia" w:ascii="宋体" w:hAnsi="宋体" w:eastAsia="宋体" w:cs="宋体"/>
                <w:b/>
                <w:bCs/>
                <w:color w:val="000000"/>
                <w:kern w:val="2"/>
                <w:sz w:val="21"/>
                <w:szCs w:val="21"/>
                <w:lang w:val="en-US" w:eastAsia="zh-CN" w:bidi="ar-SA"/>
              </w:rPr>
              <w:t>夜间</w:t>
            </w:r>
          </w:p>
        </w:tc>
        <w:tc>
          <w:tcPr>
            <w:tcW w:w="2010" w:type="pct"/>
            <w:vMerge w:val="continue"/>
            <w:tcBorders>
              <w:tl2br w:val="nil"/>
              <w:tr2bl w:val="nil"/>
            </w:tcBorders>
            <w:noWrap w:val="0"/>
            <w:vAlign w:val="center"/>
          </w:tcPr>
          <w:p w14:paraId="5C5EC468">
            <w:pPr>
              <w:keepNext w:val="0"/>
              <w:keepLines w:val="0"/>
              <w:widowControl/>
              <w:suppressLineNumbers w:val="0"/>
              <w:jc w:val="center"/>
              <w:rPr>
                <w:rFonts w:hint="default" w:ascii="宋体" w:hAnsi="宋体" w:eastAsia="宋体" w:cs="宋体"/>
                <w:b/>
                <w:bCs/>
                <w:color w:val="000000"/>
                <w:kern w:val="2"/>
                <w:sz w:val="21"/>
                <w:szCs w:val="21"/>
                <w:lang w:val="en-US" w:eastAsia="zh-CN" w:bidi="ar-SA"/>
              </w:rPr>
            </w:pPr>
          </w:p>
        </w:tc>
      </w:tr>
      <w:tr w14:paraId="35E9C8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592" w:type="pct"/>
            <w:tcBorders>
              <w:tl2br w:val="nil"/>
              <w:tr2bl w:val="nil"/>
            </w:tcBorders>
            <w:shd w:val="clear" w:color="auto" w:fill="auto"/>
            <w:noWrap w:val="0"/>
            <w:vAlign w:val="center"/>
          </w:tcPr>
          <w:p w14:paraId="5C25BACA">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厂界</w:t>
            </w:r>
          </w:p>
        </w:tc>
        <w:tc>
          <w:tcPr>
            <w:tcW w:w="1188" w:type="pct"/>
            <w:tcBorders>
              <w:tl2br w:val="nil"/>
              <w:tr2bl w:val="nil"/>
            </w:tcBorders>
            <w:noWrap w:val="0"/>
            <w:vAlign w:val="center"/>
          </w:tcPr>
          <w:p w14:paraId="30BFDD60">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3类</w:t>
            </w:r>
          </w:p>
        </w:tc>
        <w:tc>
          <w:tcPr>
            <w:tcW w:w="603" w:type="pct"/>
            <w:tcBorders>
              <w:tl2br w:val="nil"/>
              <w:tr2bl w:val="nil"/>
            </w:tcBorders>
            <w:noWrap w:val="0"/>
            <w:vAlign w:val="center"/>
          </w:tcPr>
          <w:p w14:paraId="7EFFF19E">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65</w:t>
            </w:r>
          </w:p>
        </w:tc>
        <w:tc>
          <w:tcPr>
            <w:tcW w:w="605" w:type="pct"/>
            <w:tcBorders>
              <w:tl2br w:val="nil"/>
              <w:tr2bl w:val="nil"/>
            </w:tcBorders>
            <w:noWrap w:val="0"/>
            <w:vAlign w:val="center"/>
          </w:tcPr>
          <w:p w14:paraId="6A5F5452">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55</w:t>
            </w:r>
          </w:p>
        </w:tc>
        <w:tc>
          <w:tcPr>
            <w:tcW w:w="2010" w:type="pct"/>
            <w:tcBorders>
              <w:tl2br w:val="nil"/>
              <w:tr2bl w:val="nil"/>
            </w:tcBorders>
            <w:noWrap w:val="0"/>
            <w:vAlign w:val="center"/>
          </w:tcPr>
          <w:p w14:paraId="3EB02CFC">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《工业企业厂界环境噪声排放标准》（GB12348-2008）</w:t>
            </w:r>
          </w:p>
        </w:tc>
      </w:tr>
      <w:tr w14:paraId="19ECB9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592" w:type="pct"/>
            <w:tcBorders>
              <w:tl2br w:val="nil"/>
              <w:tr2bl w:val="nil"/>
            </w:tcBorders>
            <w:shd w:val="clear" w:color="auto" w:fill="auto"/>
            <w:noWrap w:val="0"/>
            <w:vAlign w:val="center"/>
          </w:tcPr>
          <w:p w14:paraId="4CA10ED4">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敏感点</w:t>
            </w:r>
          </w:p>
        </w:tc>
        <w:tc>
          <w:tcPr>
            <w:tcW w:w="1188" w:type="pct"/>
            <w:tcBorders>
              <w:tl2br w:val="nil"/>
              <w:tr2bl w:val="nil"/>
            </w:tcBorders>
            <w:noWrap w:val="0"/>
            <w:vAlign w:val="center"/>
          </w:tcPr>
          <w:p w14:paraId="4D1C6105">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2类</w:t>
            </w:r>
          </w:p>
        </w:tc>
        <w:tc>
          <w:tcPr>
            <w:tcW w:w="603" w:type="pct"/>
            <w:tcBorders>
              <w:tl2br w:val="nil"/>
              <w:tr2bl w:val="nil"/>
            </w:tcBorders>
            <w:noWrap w:val="0"/>
            <w:vAlign w:val="center"/>
          </w:tcPr>
          <w:p w14:paraId="12E5B466">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60</w:t>
            </w:r>
          </w:p>
        </w:tc>
        <w:tc>
          <w:tcPr>
            <w:tcW w:w="605" w:type="pct"/>
            <w:tcBorders>
              <w:tl2br w:val="nil"/>
              <w:tr2bl w:val="nil"/>
            </w:tcBorders>
            <w:noWrap w:val="0"/>
            <w:vAlign w:val="center"/>
          </w:tcPr>
          <w:p w14:paraId="6C1A38B3">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55</w:t>
            </w:r>
          </w:p>
        </w:tc>
        <w:tc>
          <w:tcPr>
            <w:tcW w:w="2010" w:type="pct"/>
            <w:tcBorders>
              <w:tl2br w:val="nil"/>
              <w:tr2bl w:val="nil"/>
            </w:tcBorders>
            <w:noWrap w:val="0"/>
            <w:vAlign w:val="center"/>
          </w:tcPr>
          <w:p w14:paraId="203AF32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《声环境质量标准》（GB3096-2008）</w:t>
            </w:r>
          </w:p>
        </w:tc>
      </w:tr>
    </w:tbl>
    <w:p w14:paraId="0A3FC4AB">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1"/>
        <w:rPr>
          <w:rFonts w:hint="eastAsia" w:ascii="宋体" w:hAnsi="宋体" w:eastAsia="宋体" w:cs="宋体"/>
          <w:b/>
          <w:bCs/>
          <w:color w:val="000000"/>
          <w:kern w:val="0"/>
          <w:sz w:val="28"/>
          <w:szCs w:val="28"/>
          <w:lang w:val="en-US" w:eastAsia="zh-CN" w:bidi="ar"/>
        </w:rPr>
      </w:pPr>
      <w:bookmarkStart w:id="49" w:name="_Toc6733"/>
      <w:r>
        <w:rPr>
          <w:rFonts w:hint="eastAsia" w:ascii="宋体" w:hAnsi="宋体" w:eastAsia="宋体" w:cs="宋体"/>
          <w:b/>
          <w:bCs/>
          <w:color w:val="000000"/>
          <w:kern w:val="0"/>
          <w:sz w:val="28"/>
          <w:szCs w:val="28"/>
          <w:lang w:val="en-US" w:eastAsia="zh-CN" w:bidi="ar"/>
        </w:rPr>
        <w:t>6.5  地下水</w:t>
      </w:r>
      <w:bookmarkEnd w:id="49"/>
    </w:p>
    <w:p w14:paraId="45F6D6F4">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地下水执行《地下水质量标准》（GB/T 14848-2017）中Ⅲ类标准。具体见表6</w:t>
      </w:r>
      <w:r>
        <w:rPr>
          <w:rFonts w:hint="eastAsia" w:ascii="宋体" w:hAnsi="宋体" w:cs="宋体"/>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w:t>
      </w:r>
      <w:r>
        <w:rPr>
          <w:rFonts w:hint="eastAsia" w:ascii="宋体" w:hAnsi="宋体" w:cs="宋体"/>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w:t>
      </w:r>
    </w:p>
    <w:p w14:paraId="159C463F">
      <w:pPr>
        <w:keepNext w:val="0"/>
        <w:keepLines w:val="0"/>
        <w:widowControl/>
        <w:suppressLineNumbers w:val="0"/>
        <w:jc w:val="center"/>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表6</w:t>
      </w:r>
      <w:r>
        <w:rPr>
          <w:rFonts w:hint="eastAsia" w:ascii="宋体" w:hAnsi="宋体" w:cs="宋体"/>
          <w:b/>
          <w:bCs/>
          <w:color w:val="000000"/>
          <w:kern w:val="0"/>
          <w:sz w:val="24"/>
          <w:szCs w:val="24"/>
          <w:lang w:val="en-US" w:eastAsia="zh-CN" w:bidi="ar"/>
        </w:rPr>
        <w:t>.5</w:t>
      </w:r>
      <w:r>
        <w:rPr>
          <w:rFonts w:hint="eastAsia" w:ascii="宋体" w:hAnsi="宋体" w:eastAsia="宋体" w:cs="宋体"/>
          <w:b/>
          <w:bCs/>
          <w:color w:val="000000"/>
          <w:kern w:val="0"/>
          <w:sz w:val="24"/>
          <w:szCs w:val="24"/>
          <w:lang w:val="en-US" w:eastAsia="zh-CN" w:bidi="ar"/>
        </w:rPr>
        <w:t>-</w:t>
      </w:r>
      <w:r>
        <w:rPr>
          <w:rFonts w:hint="eastAsia" w:ascii="宋体" w:hAnsi="宋体" w:cs="宋体"/>
          <w:b/>
          <w:bCs/>
          <w:color w:val="000000"/>
          <w:kern w:val="0"/>
          <w:sz w:val="24"/>
          <w:szCs w:val="24"/>
          <w:lang w:val="en-US" w:eastAsia="zh-CN" w:bidi="ar"/>
        </w:rPr>
        <w:t>1</w:t>
      </w:r>
      <w:r>
        <w:rPr>
          <w:rFonts w:hint="eastAsia" w:ascii="宋体" w:hAnsi="宋体" w:eastAsia="宋体" w:cs="宋体"/>
          <w:b/>
          <w:bCs/>
          <w:color w:val="000000"/>
          <w:kern w:val="0"/>
          <w:sz w:val="24"/>
          <w:szCs w:val="24"/>
          <w:lang w:val="en-US" w:eastAsia="zh-CN" w:bidi="ar"/>
        </w:rPr>
        <w:t xml:space="preserve">  地下水质量标准（mg/L，pH为无量纲）</w:t>
      </w:r>
    </w:p>
    <w:tbl>
      <w:tblPr>
        <w:tblStyle w:val="1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57"/>
        <w:gridCol w:w="2625"/>
        <w:gridCol w:w="3740"/>
      </w:tblGrid>
      <w:tr w14:paraId="4994C0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5" w:type="pct"/>
            <w:tcBorders>
              <w:tl2br w:val="nil"/>
              <w:tr2bl w:val="nil"/>
            </w:tcBorders>
            <w:noWrap w:val="0"/>
            <w:vAlign w:val="center"/>
          </w:tcPr>
          <w:p w14:paraId="24CD3B32">
            <w:pPr>
              <w:pStyle w:val="34"/>
              <w:keepNext w:val="0"/>
              <w:keepLines w:val="0"/>
              <w:pageBreakBefore w:val="0"/>
              <w:kinsoku/>
              <w:wordWrap/>
              <w:overflowPunct/>
              <w:topLinePunct w:val="0"/>
              <w:autoSpaceDE/>
              <w:autoSpaceDN/>
              <w:bidi w:val="0"/>
              <w:snapToGrid w:val="0"/>
              <w:spacing w:before="0" w:after="0" w:line="240" w:lineRule="auto"/>
              <w:jc w:val="center"/>
              <w:textAlignment w:val="auto"/>
              <w:rPr>
                <w:rFonts w:hint="eastAsia" w:ascii="宋体" w:hAnsi="宋体" w:eastAsia="宋体" w:cs="宋体"/>
                <w:b/>
                <w:bCs/>
                <w:color w:val="000000"/>
                <w:sz w:val="21"/>
                <w:szCs w:val="21"/>
                <w:lang w:eastAsia="zh-CN"/>
              </w:rPr>
            </w:pPr>
            <w:r>
              <w:rPr>
                <w:rFonts w:hint="eastAsia" w:hAnsi="宋体" w:cs="宋体"/>
                <w:b/>
                <w:bCs/>
                <w:color w:val="000000"/>
                <w:sz w:val="21"/>
                <w:szCs w:val="21"/>
                <w:lang w:val="en-US" w:eastAsia="zh-CN"/>
              </w:rPr>
              <w:t>污染物</w:t>
            </w:r>
          </w:p>
        </w:tc>
        <w:tc>
          <w:tcPr>
            <w:tcW w:w="1540" w:type="pct"/>
            <w:tcBorders>
              <w:tl2br w:val="nil"/>
              <w:tr2bl w:val="nil"/>
            </w:tcBorders>
            <w:noWrap w:val="0"/>
            <w:vAlign w:val="center"/>
          </w:tcPr>
          <w:p w14:paraId="69BE7B2A">
            <w:pPr>
              <w:keepNext w:val="0"/>
              <w:keepLines w:val="0"/>
              <w:widowControl/>
              <w:suppressLineNumbers w:val="0"/>
              <w:jc w:val="center"/>
              <w:rPr>
                <w:rFonts w:hint="default" w:ascii="宋体" w:hAnsi="宋体" w:eastAsia="宋体" w:cs="宋体"/>
                <w:b/>
                <w:bCs/>
                <w:color w:val="000000"/>
                <w:kern w:val="2"/>
                <w:sz w:val="21"/>
                <w:szCs w:val="21"/>
                <w:lang w:val="en-US" w:eastAsia="zh-CN" w:bidi="ar-SA"/>
              </w:rPr>
            </w:pPr>
            <w:r>
              <w:rPr>
                <w:rFonts w:hint="eastAsia" w:ascii="宋体" w:hAnsi="宋体" w:eastAsia="宋体" w:cs="宋体"/>
                <w:b/>
                <w:bCs/>
                <w:color w:val="000000"/>
                <w:kern w:val="2"/>
                <w:sz w:val="21"/>
                <w:szCs w:val="21"/>
                <w:lang w:val="en-US" w:eastAsia="zh-CN" w:bidi="ar-SA"/>
              </w:rPr>
              <w:t>标准限值（mg/L）</w:t>
            </w:r>
          </w:p>
        </w:tc>
        <w:tc>
          <w:tcPr>
            <w:tcW w:w="2194" w:type="pct"/>
            <w:tcBorders>
              <w:tl2br w:val="nil"/>
              <w:tr2bl w:val="nil"/>
            </w:tcBorders>
            <w:noWrap w:val="0"/>
            <w:vAlign w:val="center"/>
          </w:tcPr>
          <w:p w14:paraId="5AE59064">
            <w:pPr>
              <w:keepNext w:val="0"/>
              <w:keepLines w:val="0"/>
              <w:widowControl/>
              <w:suppressLineNumbers w:val="0"/>
              <w:jc w:val="center"/>
              <w:rPr>
                <w:rFonts w:hint="default" w:ascii="宋体" w:hAnsi="宋体" w:eastAsia="宋体" w:cs="宋体"/>
                <w:b/>
                <w:bCs/>
                <w:color w:val="000000"/>
                <w:kern w:val="2"/>
                <w:sz w:val="21"/>
                <w:szCs w:val="21"/>
                <w:lang w:val="en-US" w:eastAsia="zh-CN" w:bidi="ar-SA"/>
              </w:rPr>
            </w:pPr>
            <w:r>
              <w:rPr>
                <w:rFonts w:hint="eastAsia" w:ascii="宋体" w:hAnsi="宋体" w:eastAsia="宋体" w:cs="宋体"/>
                <w:b/>
                <w:bCs/>
                <w:color w:val="000000"/>
                <w:kern w:val="2"/>
                <w:sz w:val="21"/>
                <w:szCs w:val="21"/>
                <w:lang w:val="en-US" w:eastAsia="zh-CN" w:bidi="ar-SA"/>
              </w:rPr>
              <w:t>执行标准</w:t>
            </w:r>
          </w:p>
        </w:tc>
      </w:tr>
      <w:tr w14:paraId="6FB402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1265" w:type="pct"/>
            <w:tcBorders>
              <w:tl2br w:val="nil"/>
              <w:tr2bl w:val="nil"/>
            </w:tcBorders>
            <w:shd w:val="clear" w:color="auto" w:fill="auto"/>
            <w:noWrap w:val="0"/>
            <w:vAlign w:val="center"/>
          </w:tcPr>
          <w:p w14:paraId="13233D33">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pH</w:t>
            </w:r>
          </w:p>
        </w:tc>
        <w:tc>
          <w:tcPr>
            <w:tcW w:w="1540" w:type="pct"/>
            <w:tcBorders>
              <w:tl2br w:val="nil"/>
              <w:tr2bl w:val="nil"/>
            </w:tcBorders>
            <w:noWrap w:val="0"/>
            <w:vAlign w:val="center"/>
          </w:tcPr>
          <w:p w14:paraId="13FC1F1D">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6~9</w:t>
            </w:r>
          </w:p>
        </w:tc>
        <w:tc>
          <w:tcPr>
            <w:tcW w:w="2194" w:type="pct"/>
            <w:vMerge w:val="restart"/>
            <w:tcBorders>
              <w:tl2br w:val="nil"/>
              <w:tr2bl w:val="nil"/>
            </w:tcBorders>
            <w:noWrap w:val="0"/>
            <w:vAlign w:val="center"/>
          </w:tcPr>
          <w:p w14:paraId="0A345276">
            <w:pPr>
              <w:keepNext w:val="0"/>
              <w:keepLines w:val="0"/>
              <w:widowControl/>
              <w:suppressLineNumbers w:val="0"/>
              <w:jc w:val="center"/>
              <w:rPr>
                <w:rFonts w:hint="default" w:hAnsi="宋体" w:cs="宋体"/>
                <w:b w:val="0"/>
                <w:bCs w:val="0"/>
                <w:color w:val="000000"/>
                <w:sz w:val="21"/>
                <w:szCs w:val="21"/>
                <w:lang w:val="en-US" w:eastAsia="zh-CN"/>
              </w:rPr>
            </w:pPr>
            <w:r>
              <w:rPr>
                <w:rFonts w:hint="eastAsia" w:ascii="宋体" w:hAnsi="宋体" w:eastAsia="宋体" w:cs="宋体"/>
                <w:b w:val="0"/>
                <w:bCs w:val="0"/>
                <w:color w:val="000000"/>
                <w:kern w:val="2"/>
                <w:sz w:val="21"/>
                <w:szCs w:val="21"/>
                <w:lang w:val="en-US" w:eastAsia="zh-CN" w:bidi="ar-SA"/>
              </w:rPr>
              <w:t>《地下水质量标准》（GB/T14848-2017）</w:t>
            </w:r>
          </w:p>
        </w:tc>
      </w:tr>
      <w:tr w14:paraId="33EA20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265" w:type="pct"/>
            <w:tcBorders>
              <w:tl2br w:val="nil"/>
              <w:tr2bl w:val="nil"/>
            </w:tcBorders>
            <w:shd w:val="clear" w:color="auto" w:fill="auto"/>
            <w:noWrap w:val="0"/>
            <w:vAlign w:val="center"/>
          </w:tcPr>
          <w:p w14:paraId="10F3C2FF">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氨氮</w:t>
            </w:r>
          </w:p>
        </w:tc>
        <w:tc>
          <w:tcPr>
            <w:tcW w:w="1540" w:type="pct"/>
            <w:tcBorders>
              <w:tl2br w:val="nil"/>
              <w:tr2bl w:val="nil"/>
            </w:tcBorders>
            <w:noWrap w:val="0"/>
            <w:vAlign w:val="center"/>
          </w:tcPr>
          <w:p w14:paraId="058CAAB5">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≤0.5</w:t>
            </w:r>
          </w:p>
        </w:tc>
        <w:tc>
          <w:tcPr>
            <w:tcW w:w="2194" w:type="pct"/>
            <w:vMerge w:val="continue"/>
            <w:tcBorders>
              <w:tl2br w:val="nil"/>
              <w:tr2bl w:val="nil"/>
            </w:tcBorders>
            <w:noWrap w:val="0"/>
            <w:vAlign w:val="center"/>
          </w:tcPr>
          <w:p w14:paraId="07E6870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 w:val="0"/>
                <w:bCs w:val="0"/>
                <w:color w:val="000000"/>
                <w:kern w:val="2"/>
                <w:sz w:val="21"/>
                <w:szCs w:val="21"/>
                <w:lang w:val="en-US" w:eastAsia="zh-CN" w:bidi="ar-SA"/>
              </w:rPr>
            </w:pPr>
          </w:p>
        </w:tc>
      </w:tr>
      <w:tr w14:paraId="21640A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265" w:type="pct"/>
            <w:tcBorders>
              <w:tl2br w:val="nil"/>
              <w:tr2bl w:val="nil"/>
            </w:tcBorders>
            <w:shd w:val="clear" w:color="auto" w:fill="auto"/>
            <w:noWrap w:val="0"/>
            <w:vAlign w:val="center"/>
          </w:tcPr>
          <w:p w14:paraId="06DED7B8">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硝酸盐</w:t>
            </w:r>
          </w:p>
        </w:tc>
        <w:tc>
          <w:tcPr>
            <w:tcW w:w="1540" w:type="pct"/>
            <w:tcBorders>
              <w:tl2br w:val="nil"/>
              <w:tr2bl w:val="nil"/>
            </w:tcBorders>
            <w:noWrap w:val="0"/>
            <w:vAlign w:val="center"/>
          </w:tcPr>
          <w:p w14:paraId="28B49181">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≤20</w:t>
            </w:r>
          </w:p>
        </w:tc>
        <w:tc>
          <w:tcPr>
            <w:tcW w:w="2194" w:type="pct"/>
            <w:vMerge w:val="continue"/>
            <w:tcBorders>
              <w:tl2br w:val="nil"/>
              <w:tr2bl w:val="nil"/>
            </w:tcBorders>
            <w:noWrap w:val="0"/>
            <w:vAlign w:val="center"/>
          </w:tcPr>
          <w:p w14:paraId="66CF60B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000000"/>
                <w:kern w:val="2"/>
                <w:sz w:val="21"/>
                <w:szCs w:val="21"/>
                <w:lang w:val="en-US" w:eastAsia="zh-CN" w:bidi="ar-SA"/>
              </w:rPr>
            </w:pPr>
          </w:p>
        </w:tc>
      </w:tr>
      <w:tr w14:paraId="11BF9E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265" w:type="pct"/>
            <w:tcBorders>
              <w:tl2br w:val="nil"/>
              <w:tr2bl w:val="nil"/>
            </w:tcBorders>
            <w:shd w:val="clear" w:color="auto" w:fill="auto"/>
            <w:noWrap w:val="0"/>
            <w:vAlign w:val="center"/>
          </w:tcPr>
          <w:p w14:paraId="06D25299">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总硬度</w:t>
            </w:r>
          </w:p>
        </w:tc>
        <w:tc>
          <w:tcPr>
            <w:tcW w:w="1540" w:type="pct"/>
            <w:tcBorders>
              <w:tl2br w:val="nil"/>
              <w:tr2bl w:val="nil"/>
            </w:tcBorders>
            <w:noWrap w:val="0"/>
            <w:vAlign w:val="center"/>
          </w:tcPr>
          <w:p w14:paraId="405C43EA">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≤450</w:t>
            </w:r>
          </w:p>
        </w:tc>
        <w:tc>
          <w:tcPr>
            <w:tcW w:w="2194" w:type="pct"/>
            <w:vMerge w:val="continue"/>
            <w:tcBorders>
              <w:tl2br w:val="nil"/>
              <w:tr2bl w:val="nil"/>
            </w:tcBorders>
            <w:noWrap w:val="0"/>
            <w:vAlign w:val="center"/>
          </w:tcPr>
          <w:p w14:paraId="60772EC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000000"/>
                <w:kern w:val="2"/>
                <w:sz w:val="21"/>
                <w:szCs w:val="21"/>
                <w:lang w:val="en-US" w:eastAsia="zh-CN" w:bidi="ar-SA"/>
              </w:rPr>
            </w:pPr>
          </w:p>
        </w:tc>
      </w:tr>
      <w:tr w14:paraId="35D472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265" w:type="pct"/>
            <w:tcBorders>
              <w:tl2br w:val="nil"/>
              <w:tr2bl w:val="nil"/>
            </w:tcBorders>
            <w:shd w:val="clear" w:color="auto" w:fill="auto"/>
            <w:noWrap w:val="0"/>
            <w:vAlign w:val="center"/>
          </w:tcPr>
          <w:p w14:paraId="0C17304C">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溶解性总固体</w:t>
            </w:r>
          </w:p>
        </w:tc>
        <w:tc>
          <w:tcPr>
            <w:tcW w:w="1540" w:type="pct"/>
            <w:tcBorders>
              <w:tl2br w:val="nil"/>
              <w:tr2bl w:val="nil"/>
            </w:tcBorders>
            <w:noWrap w:val="0"/>
            <w:vAlign w:val="center"/>
          </w:tcPr>
          <w:p w14:paraId="5C4E18F5">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≤1000</w:t>
            </w:r>
          </w:p>
        </w:tc>
        <w:tc>
          <w:tcPr>
            <w:tcW w:w="2194" w:type="pct"/>
            <w:vMerge w:val="continue"/>
            <w:tcBorders>
              <w:tl2br w:val="nil"/>
              <w:tr2bl w:val="nil"/>
            </w:tcBorders>
            <w:noWrap w:val="0"/>
            <w:vAlign w:val="center"/>
          </w:tcPr>
          <w:p w14:paraId="616A15D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000000"/>
                <w:kern w:val="2"/>
                <w:sz w:val="21"/>
                <w:szCs w:val="21"/>
                <w:lang w:val="en-US" w:eastAsia="zh-CN" w:bidi="ar-SA"/>
              </w:rPr>
            </w:pPr>
          </w:p>
        </w:tc>
      </w:tr>
      <w:tr w14:paraId="289A85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265" w:type="pct"/>
            <w:tcBorders>
              <w:tl2br w:val="nil"/>
              <w:tr2bl w:val="nil"/>
            </w:tcBorders>
            <w:shd w:val="clear" w:color="auto" w:fill="auto"/>
            <w:noWrap w:val="0"/>
            <w:vAlign w:val="center"/>
          </w:tcPr>
          <w:p w14:paraId="70928286">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耗氧量</w:t>
            </w:r>
          </w:p>
        </w:tc>
        <w:tc>
          <w:tcPr>
            <w:tcW w:w="1540" w:type="pct"/>
            <w:tcBorders>
              <w:tl2br w:val="nil"/>
              <w:tr2bl w:val="nil"/>
            </w:tcBorders>
            <w:noWrap w:val="0"/>
            <w:vAlign w:val="center"/>
          </w:tcPr>
          <w:p w14:paraId="7EB02138">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≤3</w:t>
            </w:r>
          </w:p>
        </w:tc>
        <w:tc>
          <w:tcPr>
            <w:tcW w:w="2194" w:type="pct"/>
            <w:vMerge w:val="continue"/>
            <w:tcBorders>
              <w:tl2br w:val="nil"/>
              <w:tr2bl w:val="nil"/>
            </w:tcBorders>
            <w:noWrap w:val="0"/>
            <w:vAlign w:val="center"/>
          </w:tcPr>
          <w:p w14:paraId="035598D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000000"/>
                <w:kern w:val="2"/>
                <w:sz w:val="21"/>
                <w:szCs w:val="21"/>
                <w:lang w:val="en-US" w:eastAsia="zh-CN" w:bidi="ar-SA"/>
              </w:rPr>
            </w:pPr>
          </w:p>
        </w:tc>
      </w:tr>
      <w:tr w14:paraId="10A0EB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265" w:type="pct"/>
            <w:tcBorders>
              <w:tl2br w:val="nil"/>
              <w:tr2bl w:val="nil"/>
            </w:tcBorders>
            <w:shd w:val="clear" w:color="auto" w:fill="auto"/>
            <w:noWrap w:val="0"/>
            <w:vAlign w:val="center"/>
          </w:tcPr>
          <w:p w14:paraId="3639CBE6">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硫酸盐</w:t>
            </w:r>
          </w:p>
        </w:tc>
        <w:tc>
          <w:tcPr>
            <w:tcW w:w="1540" w:type="pct"/>
            <w:tcBorders>
              <w:tl2br w:val="nil"/>
              <w:tr2bl w:val="nil"/>
            </w:tcBorders>
            <w:noWrap w:val="0"/>
            <w:vAlign w:val="center"/>
          </w:tcPr>
          <w:p w14:paraId="252ABA53">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≤250</w:t>
            </w:r>
          </w:p>
        </w:tc>
        <w:tc>
          <w:tcPr>
            <w:tcW w:w="2194" w:type="pct"/>
            <w:vMerge w:val="continue"/>
            <w:tcBorders>
              <w:tl2br w:val="nil"/>
              <w:tr2bl w:val="nil"/>
            </w:tcBorders>
            <w:noWrap w:val="0"/>
            <w:vAlign w:val="center"/>
          </w:tcPr>
          <w:p w14:paraId="170CACF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000000"/>
                <w:kern w:val="2"/>
                <w:sz w:val="21"/>
                <w:szCs w:val="21"/>
                <w:lang w:val="en-US" w:eastAsia="zh-CN" w:bidi="ar-SA"/>
              </w:rPr>
            </w:pPr>
          </w:p>
        </w:tc>
      </w:tr>
      <w:tr w14:paraId="6078E6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265" w:type="pct"/>
            <w:tcBorders>
              <w:tl2br w:val="nil"/>
              <w:tr2bl w:val="nil"/>
            </w:tcBorders>
            <w:shd w:val="clear" w:color="auto" w:fill="auto"/>
            <w:noWrap w:val="0"/>
            <w:vAlign w:val="center"/>
          </w:tcPr>
          <w:p w14:paraId="17EA24B8">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氯化物</w:t>
            </w:r>
          </w:p>
        </w:tc>
        <w:tc>
          <w:tcPr>
            <w:tcW w:w="1540" w:type="pct"/>
            <w:tcBorders>
              <w:tl2br w:val="nil"/>
              <w:tr2bl w:val="nil"/>
            </w:tcBorders>
            <w:noWrap w:val="0"/>
            <w:vAlign w:val="center"/>
          </w:tcPr>
          <w:p w14:paraId="274B41F4">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≤250</w:t>
            </w:r>
          </w:p>
        </w:tc>
        <w:tc>
          <w:tcPr>
            <w:tcW w:w="2194" w:type="pct"/>
            <w:vMerge w:val="continue"/>
            <w:tcBorders>
              <w:tl2br w:val="nil"/>
              <w:tr2bl w:val="nil"/>
            </w:tcBorders>
            <w:noWrap w:val="0"/>
            <w:vAlign w:val="center"/>
          </w:tcPr>
          <w:p w14:paraId="75DB5AA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000000"/>
                <w:kern w:val="2"/>
                <w:sz w:val="21"/>
                <w:szCs w:val="21"/>
                <w:lang w:val="en-US" w:eastAsia="zh-CN" w:bidi="ar-SA"/>
              </w:rPr>
            </w:pPr>
          </w:p>
        </w:tc>
      </w:tr>
      <w:tr w14:paraId="2B8B40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265" w:type="pct"/>
            <w:tcBorders>
              <w:tl2br w:val="nil"/>
              <w:tr2bl w:val="nil"/>
            </w:tcBorders>
            <w:shd w:val="clear" w:color="auto" w:fill="auto"/>
            <w:noWrap w:val="0"/>
            <w:vAlign w:val="center"/>
          </w:tcPr>
          <w:p w14:paraId="5949B77E">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总大肠菌群（MPN/L）</w:t>
            </w:r>
          </w:p>
        </w:tc>
        <w:tc>
          <w:tcPr>
            <w:tcW w:w="1540" w:type="pct"/>
            <w:tcBorders>
              <w:tl2br w:val="nil"/>
              <w:tr2bl w:val="nil"/>
            </w:tcBorders>
            <w:noWrap w:val="0"/>
            <w:vAlign w:val="center"/>
          </w:tcPr>
          <w:p w14:paraId="53AB104F">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≤30</w:t>
            </w:r>
          </w:p>
        </w:tc>
        <w:tc>
          <w:tcPr>
            <w:tcW w:w="2194" w:type="pct"/>
            <w:vMerge w:val="continue"/>
            <w:tcBorders>
              <w:tl2br w:val="nil"/>
              <w:tr2bl w:val="nil"/>
            </w:tcBorders>
            <w:noWrap w:val="0"/>
            <w:vAlign w:val="center"/>
          </w:tcPr>
          <w:p w14:paraId="44507EA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000000"/>
                <w:kern w:val="2"/>
                <w:sz w:val="21"/>
                <w:szCs w:val="21"/>
                <w:lang w:val="en-US" w:eastAsia="zh-CN" w:bidi="ar-SA"/>
              </w:rPr>
            </w:pPr>
          </w:p>
        </w:tc>
      </w:tr>
      <w:tr w14:paraId="6D603B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265" w:type="pct"/>
            <w:tcBorders>
              <w:tl2br w:val="nil"/>
              <w:tr2bl w:val="nil"/>
            </w:tcBorders>
            <w:shd w:val="clear" w:color="auto" w:fill="auto"/>
            <w:noWrap w:val="0"/>
            <w:vAlign w:val="center"/>
          </w:tcPr>
          <w:p w14:paraId="6226F1D7">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菌落总数</w:t>
            </w:r>
          </w:p>
        </w:tc>
        <w:tc>
          <w:tcPr>
            <w:tcW w:w="1540" w:type="pct"/>
            <w:tcBorders>
              <w:tl2br w:val="nil"/>
              <w:tr2bl w:val="nil"/>
            </w:tcBorders>
            <w:noWrap w:val="0"/>
            <w:vAlign w:val="center"/>
          </w:tcPr>
          <w:p w14:paraId="7079D8BC">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≤100</w:t>
            </w:r>
          </w:p>
        </w:tc>
        <w:tc>
          <w:tcPr>
            <w:tcW w:w="2194" w:type="pct"/>
            <w:vMerge w:val="continue"/>
            <w:tcBorders>
              <w:tl2br w:val="nil"/>
              <w:tr2bl w:val="nil"/>
            </w:tcBorders>
            <w:noWrap w:val="0"/>
            <w:vAlign w:val="center"/>
          </w:tcPr>
          <w:p w14:paraId="4FC3578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000000"/>
                <w:kern w:val="2"/>
                <w:sz w:val="21"/>
                <w:szCs w:val="21"/>
                <w:lang w:val="en-US" w:eastAsia="zh-CN" w:bidi="ar-SA"/>
              </w:rPr>
            </w:pPr>
          </w:p>
        </w:tc>
      </w:tr>
    </w:tbl>
    <w:p w14:paraId="35FB7E7F">
      <w:pPr>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br w:type="page"/>
      </w:r>
    </w:p>
    <w:p w14:paraId="0F9E9CD8">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0"/>
        <w:rPr>
          <w:rFonts w:hint="eastAsia" w:ascii="宋体" w:hAnsi="宋体" w:eastAsia="宋体" w:cs="宋体"/>
          <w:b/>
          <w:bCs/>
          <w:color w:val="000000"/>
          <w:kern w:val="0"/>
          <w:sz w:val="32"/>
          <w:szCs w:val="32"/>
          <w:lang w:val="en-US" w:eastAsia="zh-CN" w:bidi="ar"/>
        </w:rPr>
      </w:pPr>
      <w:bookmarkStart w:id="50" w:name="_Toc28830"/>
      <w:r>
        <w:rPr>
          <w:rFonts w:hint="eastAsia" w:ascii="宋体" w:hAnsi="宋体" w:eastAsia="宋体" w:cs="宋体"/>
          <w:b/>
          <w:bCs/>
          <w:color w:val="000000"/>
          <w:kern w:val="0"/>
          <w:sz w:val="32"/>
          <w:szCs w:val="32"/>
          <w:lang w:val="en-US" w:eastAsia="zh-CN" w:bidi="ar"/>
        </w:rPr>
        <w:t>7</w:t>
      </w:r>
      <w:r>
        <w:rPr>
          <w:rFonts w:hint="eastAsia" w:ascii="宋体" w:hAnsi="宋体" w:eastAsia="宋体" w:cs="宋体"/>
          <w:b/>
          <w:bCs/>
          <w:color w:val="000000"/>
          <w:kern w:val="0"/>
          <w:sz w:val="28"/>
          <w:szCs w:val="28"/>
          <w:lang w:val="en-US" w:eastAsia="zh-CN" w:bidi="ar"/>
        </w:rPr>
        <w:t>.</w:t>
      </w:r>
      <w:r>
        <w:rPr>
          <w:rFonts w:hint="eastAsia" w:ascii="宋体" w:hAnsi="宋体" w:eastAsia="宋体" w:cs="宋体"/>
          <w:b/>
          <w:bCs/>
          <w:color w:val="000000"/>
          <w:kern w:val="0"/>
          <w:sz w:val="32"/>
          <w:szCs w:val="32"/>
          <w:lang w:val="en-US" w:eastAsia="zh-CN" w:bidi="ar"/>
        </w:rPr>
        <w:t xml:space="preserve">  验收监测内容</w:t>
      </w:r>
      <w:bookmarkEnd w:id="50"/>
    </w:p>
    <w:p w14:paraId="0E7589D6">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1"/>
        <w:rPr>
          <w:rFonts w:hint="eastAsia" w:ascii="宋体" w:hAnsi="宋体" w:eastAsia="宋体" w:cs="宋体"/>
          <w:sz w:val="28"/>
          <w:szCs w:val="28"/>
        </w:rPr>
      </w:pPr>
      <w:bookmarkStart w:id="51" w:name="_Toc6415"/>
      <w:r>
        <w:rPr>
          <w:rFonts w:hint="eastAsia" w:ascii="宋体" w:hAnsi="宋体" w:eastAsia="宋体" w:cs="宋体"/>
          <w:b/>
          <w:bCs/>
          <w:color w:val="000000"/>
          <w:kern w:val="0"/>
          <w:sz w:val="28"/>
          <w:szCs w:val="28"/>
          <w:lang w:val="en-US" w:eastAsia="zh-CN" w:bidi="ar"/>
        </w:rPr>
        <w:t>7.1  环境保护设施调试运行效果</w:t>
      </w:r>
      <w:bookmarkEnd w:id="51"/>
    </w:p>
    <w:p w14:paraId="017E4E70">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根据《建设项目竣工环境保护验收技术指南 污染影响类》，本项目属于无明显生产周期、污染物稳定排放、连续生产的建设项目。根据该项目验收规模、工艺和现场了解，本验收监测在验收范围内确定对废水和厂界噪声进行监测以验收环境保护设施调试运行效果，同时对无组织废气进行初步验收监测，以了解在废气处理设施正在建设的情况下无组织的排放情况。监测点位数、因子及频次如下：</w:t>
      </w:r>
    </w:p>
    <w:p w14:paraId="1370E3CA">
      <w:pPr>
        <w:pStyle w:val="9"/>
        <w:keepNext w:val="0"/>
        <w:keepLines w:val="0"/>
        <w:pageBreakBefore w:val="0"/>
        <w:widowControl w:val="0"/>
        <w:kinsoku/>
        <w:wordWrap/>
        <w:overflowPunct/>
        <w:topLinePunct w:val="0"/>
        <w:autoSpaceDE/>
        <w:autoSpaceDN/>
        <w:bidi w:val="0"/>
        <w:adjustRightInd/>
        <w:snapToGrid w:val="0"/>
        <w:spacing w:after="0" w:line="360" w:lineRule="auto"/>
        <w:ind w:left="0" w:leftChars="0" w:firstLine="0" w:firstLineChars="0"/>
        <w:jc w:val="both"/>
        <w:textAlignment w:val="auto"/>
        <w:outlineLvl w:val="1"/>
        <w:rPr>
          <w:rFonts w:hint="default" w:ascii="宋体" w:hAnsi="宋体" w:eastAsia="宋体" w:cs="宋体"/>
          <w:b/>
          <w:bCs/>
          <w:color w:val="000000"/>
          <w:kern w:val="0"/>
          <w:sz w:val="32"/>
          <w:szCs w:val="32"/>
          <w:lang w:val="en-US" w:eastAsia="zh-CN" w:bidi="ar"/>
        </w:rPr>
      </w:pPr>
      <w:bookmarkStart w:id="52" w:name="_Toc7676"/>
      <w:r>
        <w:rPr>
          <w:rFonts w:hint="eastAsia" w:ascii="宋体" w:hAnsi="宋体" w:eastAsia="宋体" w:cs="宋体"/>
          <w:b/>
          <w:bCs/>
          <w:color w:val="000000"/>
          <w:kern w:val="0"/>
          <w:sz w:val="28"/>
          <w:szCs w:val="28"/>
          <w:lang w:val="en-US" w:eastAsia="zh-CN" w:bidi="ar"/>
        </w:rPr>
        <w:t>7.2  废水、地下水</w:t>
      </w:r>
      <w:bookmarkEnd w:id="52"/>
    </w:p>
    <w:p w14:paraId="5677ED33">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本项目废水验收、地下水监测点位、项目、频次见表</w:t>
      </w:r>
      <w:r>
        <w:rPr>
          <w:rFonts w:hint="default" w:ascii="宋体" w:hAnsi="宋体" w:eastAsia="宋体" w:cs="宋体"/>
          <w:color w:val="000000"/>
          <w:kern w:val="0"/>
          <w:sz w:val="24"/>
          <w:szCs w:val="24"/>
          <w:lang w:val="en-US" w:eastAsia="zh-CN" w:bidi="ar"/>
        </w:rPr>
        <w:t>7</w:t>
      </w:r>
      <w:r>
        <w:rPr>
          <w:rFonts w:hint="eastAsia" w:ascii="宋体" w:hAnsi="宋体" w:cs="宋体"/>
          <w:color w:val="000000"/>
          <w:kern w:val="0"/>
          <w:sz w:val="24"/>
          <w:szCs w:val="24"/>
          <w:lang w:val="en-US" w:eastAsia="zh-CN" w:bidi="ar"/>
        </w:rPr>
        <w:t>.2</w:t>
      </w:r>
      <w:r>
        <w:rPr>
          <w:rFonts w:hint="default"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w:t>
      </w:r>
    </w:p>
    <w:p w14:paraId="1E285842">
      <w:pPr>
        <w:keepNext w:val="0"/>
        <w:keepLines w:val="0"/>
        <w:widowControl/>
        <w:suppressLineNumbers w:val="0"/>
        <w:jc w:val="center"/>
        <w:rPr>
          <w:rFonts w:hint="eastAsia" w:ascii="宋体" w:hAnsi="宋体" w:eastAsia="宋体" w:cs="宋体"/>
          <w:sz w:val="24"/>
          <w:szCs w:val="24"/>
        </w:rPr>
      </w:pPr>
      <w:r>
        <w:rPr>
          <w:rFonts w:hint="eastAsia" w:ascii="宋体" w:hAnsi="宋体" w:eastAsia="宋体" w:cs="宋体"/>
          <w:b/>
          <w:bCs/>
          <w:color w:val="000000"/>
          <w:kern w:val="0"/>
          <w:sz w:val="24"/>
          <w:szCs w:val="24"/>
          <w:lang w:val="en-US" w:eastAsia="zh-CN" w:bidi="ar"/>
        </w:rPr>
        <w:t>表7</w:t>
      </w:r>
      <w:r>
        <w:rPr>
          <w:rFonts w:hint="eastAsia" w:ascii="宋体"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-1  废水、地下水监测点位、项目、频次</w:t>
      </w:r>
    </w:p>
    <w:tbl>
      <w:tblPr>
        <w:tblStyle w:val="1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34"/>
        <w:gridCol w:w="2153"/>
        <w:gridCol w:w="3076"/>
        <w:gridCol w:w="2056"/>
      </w:tblGrid>
      <w:tr w14:paraId="4FFCB8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pct"/>
            <w:tcBorders>
              <w:tl2br w:val="nil"/>
              <w:tr2bl w:val="nil"/>
            </w:tcBorders>
            <w:noWrap w:val="0"/>
            <w:vAlign w:val="center"/>
          </w:tcPr>
          <w:p w14:paraId="21F561A9">
            <w:pPr>
              <w:pStyle w:val="34"/>
              <w:keepNext w:val="0"/>
              <w:keepLines w:val="0"/>
              <w:pageBreakBefore w:val="0"/>
              <w:kinsoku/>
              <w:wordWrap/>
              <w:overflowPunct/>
              <w:topLinePunct w:val="0"/>
              <w:autoSpaceDE/>
              <w:autoSpaceDN/>
              <w:bidi w:val="0"/>
              <w:snapToGrid w:val="0"/>
              <w:spacing w:before="0" w:after="0" w:line="240" w:lineRule="auto"/>
              <w:jc w:val="center"/>
              <w:textAlignment w:val="auto"/>
              <w:rPr>
                <w:rFonts w:hint="default" w:ascii="宋体" w:hAnsi="宋体" w:eastAsia="宋体" w:cs="宋体"/>
                <w:b/>
                <w:bCs/>
                <w:color w:val="000000"/>
                <w:sz w:val="21"/>
                <w:szCs w:val="21"/>
                <w:lang w:val="en-US" w:eastAsia="zh-CN"/>
              </w:rPr>
            </w:pPr>
            <w:r>
              <w:rPr>
                <w:rFonts w:hint="eastAsia" w:hAnsi="宋体" w:cs="宋体"/>
                <w:b/>
                <w:bCs/>
                <w:color w:val="000000"/>
                <w:sz w:val="21"/>
                <w:szCs w:val="21"/>
                <w:lang w:val="en-US" w:eastAsia="zh-CN"/>
              </w:rPr>
              <w:t>检测项目</w:t>
            </w:r>
          </w:p>
        </w:tc>
        <w:tc>
          <w:tcPr>
            <w:tcW w:w="1263" w:type="pct"/>
            <w:tcBorders>
              <w:tl2br w:val="nil"/>
              <w:tr2bl w:val="nil"/>
            </w:tcBorders>
            <w:noWrap w:val="0"/>
            <w:vAlign w:val="center"/>
          </w:tcPr>
          <w:p w14:paraId="577CCEC4">
            <w:pPr>
              <w:keepNext w:val="0"/>
              <w:keepLines w:val="0"/>
              <w:widowControl/>
              <w:suppressLineNumbers w:val="0"/>
              <w:jc w:val="center"/>
              <w:rPr>
                <w:rFonts w:hint="default" w:ascii="宋体" w:hAnsi="宋体" w:eastAsia="宋体" w:cs="宋体"/>
                <w:b/>
                <w:bCs/>
                <w:color w:val="000000"/>
                <w:kern w:val="2"/>
                <w:sz w:val="21"/>
                <w:szCs w:val="21"/>
                <w:lang w:val="en-US" w:eastAsia="zh-CN" w:bidi="ar-SA"/>
              </w:rPr>
            </w:pPr>
            <w:r>
              <w:rPr>
                <w:rFonts w:hint="eastAsia" w:ascii="宋体" w:hAnsi="宋体" w:eastAsia="宋体" w:cs="宋体"/>
                <w:b/>
                <w:bCs/>
                <w:color w:val="000000"/>
                <w:kern w:val="2"/>
                <w:sz w:val="21"/>
                <w:szCs w:val="21"/>
                <w:lang w:val="en-US" w:eastAsia="zh-CN" w:bidi="ar-SA"/>
              </w:rPr>
              <w:t>检测点位</w:t>
            </w:r>
          </w:p>
        </w:tc>
        <w:tc>
          <w:tcPr>
            <w:tcW w:w="1805" w:type="pct"/>
            <w:tcBorders>
              <w:tl2br w:val="nil"/>
              <w:tr2bl w:val="nil"/>
            </w:tcBorders>
            <w:noWrap w:val="0"/>
            <w:vAlign w:val="center"/>
          </w:tcPr>
          <w:p w14:paraId="2AB08E2C">
            <w:pPr>
              <w:keepNext w:val="0"/>
              <w:keepLines w:val="0"/>
              <w:widowControl/>
              <w:suppressLineNumbers w:val="0"/>
              <w:jc w:val="center"/>
              <w:rPr>
                <w:rFonts w:hint="default" w:ascii="宋体" w:hAnsi="宋体" w:eastAsia="宋体" w:cs="宋体"/>
                <w:b/>
                <w:bCs/>
                <w:color w:val="000000"/>
                <w:kern w:val="2"/>
                <w:sz w:val="21"/>
                <w:szCs w:val="21"/>
                <w:lang w:val="en-US" w:eastAsia="zh-CN" w:bidi="ar-SA"/>
              </w:rPr>
            </w:pPr>
            <w:r>
              <w:rPr>
                <w:rFonts w:hint="eastAsia" w:ascii="宋体" w:hAnsi="宋体" w:eastAsia="宋体" w:cs="宋体"/>
                <w:b/>
                <w:bCs/>
                <w:color w:val="000000"/>
                <w:kern w:val="2"/>
                <w:sz w:val="21"/>
                <w:szCs w:val="21"/>
                <w:lang w:val="en-US" w:eastAsia="zh-CN" w:bidi="ar-SA"/>
              </w:rPr>
              <w:t>检测项目</w:t>
            </w:r>
          </w:p>
        </w:tc>
        <w:tc>
          <w:tcPr>
            <w:tcW w:w="1206" w:type="pct"/>
            <w:tcBorders>
              <w:tl2br w:val="nil"/>
              <w:tr2bl w:val="nil"/>
            </w:tcBorders>
            <w:noWrap w:val="0"/>
            <w:vAlign w:val="center"/>
          </w:tcPr>
          <w:p w14:paraId="0797CBF5">
            <w:pPr>
              <w:keepNext w:val="0"/>
              <w:keepLines w:val="0"/>
              <w:widowControl/>
              <w:suppressLineNumbers w:val="0"/>
              <w:jc w:val="center"/>
              <w:rPr>
                <w:rFonts w:hint="default" w:ascii="宋体" w:hAnsi="宋体" w:eastAsia="宋体" w:cs="宋体"/>
                <w:b/>
                <w:bCs/>
                <w:color w:val="000000"/>
                <w:kern w:val="2"/>
                <w:sz w:val="21"/>
                <w:szCs w:val="21"/>
                <w:lang w:val="en-US" w:eastAsia="zh-CN" w:bidi="ar-SA"/>
              </w:rPr>
            </w:pPr>
            <w:r>
              <w:rPr>
                <w:rFonts w:hint="eastAsia" w:ascii="宋体" w:hAnsi="宋体" w:eastAsia="宋体" w:cs="宋体"/>
                <w:b/>
                <w:bCs/>
                <w:color w:val="000000"/>
                <w:kern w:val="2"/>
                <w:sz w:val="21"/>
                <w:szCs w:val="21"/>
                <w:lang w:val="en-US" w:eastAsia="zh-CN" w:bidi="ar-SA"/>
              </w:rPr>
              <w:t>检测频次</w:t>
            </w:r>
          </w:p>
        </w:tc>
      </w:tr>
      <w:tr w14:paraId="1627D2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724" w:type="pct"/>
            <w:vMerge w:val="restart"/>
            <w:tcBorders>
              <w:tl2br w:val="nil"/>
              <w:tr2bl w:val="nil"/>
            </w:tcBorders>
            <w:shd w:val="clear" w:color="auto" w:fill="auto"/>
            <w:noWrap w:val="0"/>
            <w:vAlign w:val="center"/>
          </w:tcPr>
          <w:p w14:paraId="5E7B7090">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废水</w:t>
            </w:r>
          </w:p>
        </w:tc>
        <w:tc>
          <w:tcPr>
            <w:tcW w:w="1263" w:type="pct"/>
            <w:tcBorders>
              <w:tl2br w:val="nil"/>
              <w:tr2bl w:val="nil"/>
            </w:tcBorders>
            <w:noWrap w:val="0"/>
            <w:vAlign w:val="center"/>
          </w:tcPr>
          <w:p w14:paraId="6B6CD03A">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污水处理厂进口</w:t>
            </w:r>
          </w:p>
        </w:tc>
        <w:tc>
          <w:tcPr>
            <w:tcW w:w="1805" w:type="pct"/>
            <w:tcBorders>
              <w:tl2br w:val="nil"/>
              <w:tr2bl w:val="nil"/>
            </w:tcBorders>
            <w:noWrap w:val="0"/>
            <w:vAlign w:val="center"/>
          </w:tcPr>
          <w:p w14:paraId="3D722AB4">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COD、BOD</w:t>
            </w:r>
            <w:r>
              <w:rPr>
                <w:rFonts w:hint="eastAsia" w:hAnsi="宋体" w:cs="宋体"/>
                <w:b w:val="0"/>
                <w:bCs w:val="0"/>
                <w:color w:val="000000"/>
                <w:kern w:val="2"/>
                <w:sz w:val="21"/>
                <w:szCs w:val="21"/>
                <w:vertAlign w:val="subscript"/>
                <w:lang w:val="en-US" w:eastAsia="zh-CN" w:bidi="ar-SA"/>
              </w:rPr>
              <w:t>5</w:t>
            </w:r>
            <w:r>
              <w:rPr>
                <w:rFonts w:hint="eastAsia" w:hAnsi="宋体" w:cs="宋体"/>
                <w:b w:val="0"/>
                <w:bCs w:val="0"/>
                <w:color w:val="000000"/>
                <w:kern w:val="2"/>
                <w:sz w:val="21"/>
                <w:szCs w:val="21"/>
                <w:lang w:val="en-US" w:eastAsia="zh-CN" w:bidi="ar-SA"/>
              </w:rPr>
              <w:t>、SS、NH</w:t>
            </w:r>
            <w:r>
              <w:rPr>
                <w:rFonts w:hint="eastAsia" w:hAnsi="宋体" w:cs="宋体"/>
                <w:b w:val="0"/>
                <w:bCs w:val="0"/>
                <w:color w:val="000000"/>
                <w:kern w:val="2"/>
                <w:sz w:val="21"/>
                <w:szCs w:val="21"/>
                <w:vertAlign w:val="subscript"/>
                <w:lang w:val="en-US" w:eastAsia="zh-CN" w:bidi="ar-SA"/>
              </w:rPr>
              <w:t>3</w:t>
            </w:r>
            <w:r>
              <w:rPr>
                <w:rFonts w:hint="eastAsia" w:hAnsi="宋体" w:cs="宋体"/>
                <w:b w:val="0"/>
                <w:bCs w:val="0"/>
                <w:color w:val="000000"/>
                <w:kern w:val="2"/>
                <w:sz w:val="21"/>
                <w:szCs w:val="21"/>
                <w:lang w:val="en-US" w:eastAsia="zh-CN" w:bidi="ar-SA"/>
              </w:rPr>
              <w:t>-N、TP、TN、废水流量及水温</w:t>
            </w:r>
          </w:p>
        </w:tc>
        <w:tc>
          <w:tcPr>
            <w:tcW w:w="1206" w:type="pct"/>
            <w:tcBorders>
              <w:tl2br w:val="nil"/>
              <w:tr2bl w:val="nil"/>
            </w:tcBorders>
            <w:noWrap w:val="0"/>
            <w:vAlign w:val="center"/>
          </w:tcPr>
          <w:p w14:paraId="0FAC841D">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4次/天，连续2天</w:t>
            </w:r>
          </w:p>
        </w:tc>
      </w:tr>
      <w:tr w14:paraId="45D473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24" w:type="pct"/>
            <w:vMerge w:val="continue"/>
            <w:tcBorders>
              <w:tl2br w:val="nil"/>
              <w:tr2bl w:val="nil"/>
            </w:tcBorders>
            <w:shd w:val="clear" w:color="auto" w:fill="auto"/>
            <w:noWrap w:val="0"/>
            <w:vAlign w:val="center"/>
          </w:tcPr>
          <w:p w14:paraId="1BAB192C">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p>
        </w:tc>
        <w:tc>
          <w:tcPr>
            <w:tcW w:w="1263" w:type="pct"/>
            <w:tcBorders>
              <w:tl2br w:val="nil"/>
              <w:tr2bl w:val="nil"/>
            </w:tcBorders>
            <w:noWrap w:val="0"/>
            <w:vAlign w:val="center"/>
          </w:tcPr>
          <w:p w14:paraId="13B37995">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污水处理厂出口</w:t>
            </w:r>
          </w:p>
        </w:tc>
        <w:tc>
          <w:tcPr>
            <w:tcW w:w="1805" w:type="pct"/>
            <w:tcBorders>
              <w:tl2br w:val="nil"/>
              <w:tr2bl w:val="nil"/>
            </w:tcBorders>
            <w:noWrap w:val="0"/>
            <w:vAlign w:val="center"/>
          </w:tcPr>
          <w:p w14:paraId="798935EB">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COD、BOD</w:t>
            </w:r>
            <w:r>
              <w:rPr>
                <w:rFonts w:hint="eastAsia" w:hAnsi="宋体" w:cs="宋体"/>
                <w:b w:val="0"/>
                <w:bCs w:val="0"/>
                <w:color w:val="000000"/>
                <w:kern w:val="2"/>
                <w:sz w:val="21"/>
                <w:szCs w:val="21"/>
                <w:vertAlign w:val="subscript"/>
                <w:lang w:val="en-US" w:eastAsia="zh-CN" w:bidi="ar-SA"/>
              </w:rPr>
              <w:t>5</w:t>
            </w:r>
            <w:r>
              <w:rPr>
                <w:rFonts w:hint="eastAsia" w:hAnsi="宋体" w:cs="宋体"/>
                <w:b w:val="0"/>
                <w:bCs w:val="0"/>
                <w:color w:val="000000"/>
                <w:kern w:val="2"/>
                <w:sz w:val="21"/>
                <w:szCs w:val="21"/>
                <w:lang w:val="en-US" w:eastAsia="zh-CN" w:bidi="ar-SA"/>
              </w:rPr>
              <w:t>、SS、NH</w:t>
            </w:r>
            <w:r>
              <w:rPr>
                <w:rFonts w:hint="eastAsia" w:hAnsi="宋体" w:cs="宋体"/>
                <w:b w:val="0"/>
                <w:bCs w:val="0"/>
                <w:color w:val="000000"/>
                <w:kern w:val="2"/>
                <w:sz w:val="21"/>
                <w:szCs w:val="21"/>
                <w:vertAlign w:val="subscript"/>
                <w:lang w:val="en-US" w:eastAsia="zh-CN" w:bidi="ar-SA"/>
              </w:rPr>
              <w:t>3</w:t>
            </w:r>
            <w:r>
              <w:rPr>
                <w:rFonts w:hint="eastAsia" w:hAnsi="宋体" w:cs="宋体"/>
                <w:b w:val="0"/>
                <w:bCs w:val="0"/>
                <w:color w:val="000000"/>
                <w:kern w:val="2"/>
                <w:sz w:val="21"/>
                <w:szCs w:val="21"/>
                <w:lang w:val="en-US" w:eastAsia="zh-CN" w:bidi="ar-SA"/>
              </w:rPr>
              <w:t>-N、TP、TN、粪大肠菌群、氟化物废水流量及水温</w:t>
            </w:r>
          </w:p>
        </w:tc>
        <w:tc>
          <w:tcPr>
            <w:tcW w:w="1206" w:type="pct"/>
            <w:tcBorders>
              <w:tl2br w:val="nil"/>
              <w:tr2bl w:val="nil"/>
            </w:tcBorders>
            <w:noWrap w:val="0"/>
            <w:vAlign w:val="center"/>
          </w:tcPr>
          <w:p w14:paraId="333C7E25">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eastAsia"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4次/天，连续2天</w:t>
            </w:r>
          </w:p>
        </w:tc>
      </w:tr>
      <w:tr w14:paraId="5268EB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24" w:type="pct"/>
            <w:tcBorders>
              <w:tl2br w:val="nil"/>
              <w:tr2bl w:val="nil"/>
            </w:tcBorders>
            <w:shd w:val="clear" w:color="auto" w:fill="auto"/>
            <w:noWrap w:val="0"/>
            <w:vAlign w:val="center"/>
          </w:tcPr>
          <w:p w14:paraId="608D1226">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地下水</w:t>
            </w:r>
          </w:p>
        </w:tc>
        <w:tc>
          <w:tcPr>
            <w:tcW w:w="1263" w:type="pct"/>
            <w:tcBorders>
              <w:tl2br w:val="nil"/>
              <w:tr2bl w:val="nil"/>
            </w:tcBorders>
            <w:noWrap w:val="0"/>
            <w:vAlign w:val="center"/>
          </w:tcPr>
          <w:p w14:paraId="0B9F619C">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厂区内地下水监测井</w:t>
            </w:r>
          </w:p>
        </w:tc>
        <w:tc>
          <w:tcPr>
            <w:tcW w:w="1805" w:type="pct"/>
            <w:tcBorders>
              <w:tl2br w:val="nil"/>
              <w:tr2bl w:val="nil"/>
            </w:tcBorders>
            <w:noWrap w:val="0"/>
            <w:vAlign w:val="center"/>
          </w:tcPr>
          <w:p w14:paraId="751B4301">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default"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NH</w:t>
            </w:r>
            <w:r>
              <w:rPr>
                <w:rFonts w:hint="eastAsia" w:hAnsi="宋体" w:cs="宋体"/>
                <w:b w:val="0"/>
                <w:bCs w:val="0"/>
                <w:color w:val="000000"/>
                <w:kern w:val="2"/>
                <w:sz w:val="21"/>
                <w:szCs w:val="21"/>
                <w:vertAlign w:val="subscript"/>
                <w:lang w:val="en-US" w:eastAsia="zh-CN" w:bidi="ar-SA"/>
              </w:rPr>
              <w:t>3</w:t>
            </w:r>
            <w:r>
              <w:rPr>
                <w:rFonts w:hint="eastAsia" w:hAnsi="宋体" w:cs="宋体"/>
                <w:b w:val="0"/>
                <w:bCs w:val="0"/>
                <w:color w:val="000000"/>
                <w:kern w:val="2"/>
                <w:sz w:val="21"/>
                <w:szCs w:val="21"/>
                <w:lang w:val="en-US" w:eastAsia="zh-CN" w:bidi="ar-SA"/>
              </w:rPr>
              <w:t>-N、耗氧量、总硬度、溶解性总固体、硫酸盐、氯化物、硝酸盐、菌落总数、水位</w:t>
            </w:r>
          </w:p>
        </w:tc>
        <w:tc>
          <w:tcPr>
            <w:tcW w:w="1206" w:type="pct"/>
            <w:tcBorders>
              <w:tl2br w:val="nil"/>
              <w:tr2bl w:val="nil"/>
            </w:tcBorders>
            <w:noWrap w:val="0"/>
            <w:vAlign w:val="center"/>
          </w:tcPr>
          <w:p w14:paraId="69F1CEFA">
            <w:pPr>
              <w:pStyle w:val="34"/>
              <w:keepNext w:val="0"/>
              <w:keepLines w:val="0"/>
              <w:pageBreakBefore w:val="0"/>
              <w:widowControl/>
              <w:kinsoku/>
              <w:wordWrap/>
              <w:overflowPunct/>
              <w:topLinePunct w:val="0"/>
              <w:autoSpaceDE/>
              <w:autoSpaceDN/>
              <w:bidi w:val="0"/>
              <w:adjustRightInd/>
              <w:snapToGrid w:val="0"/>
              <w:spacing w:before="0" w:after="0" w:line="240" w:lineRule="auto"/>
              <w:textAlignment w:val="auto"/>
              <w:rPr>
                <w:rFonts w:hint="eastAsia" w:hAnsi="宋体" w:cs="宋体"/>
                <w:b w:val="0"/>
                <w:bCs w:val="0"/>
                <w:color w:val="000000"/>
                <w:kern w:val="2"/>
                <w:sz w:val="21"/>
                <w:szCs w:val="21"/>
                <w:lang w:val="en-US" w:eastAsia="zh-CN" w:bidi="ar-SA"/>
              </w:rPr>
            </w:pPr>
            <w:r>
              <w:rPr>
                <w:rFonts w:hint="eastAsia" w:hAnsi="宋体" w:cs="宋体"/>
                <w:b w:val="0"/>
                <w:bCs w:val="0"/>
                <w:color w:val="000000"/>
                <w:kern w:val="2"/>
                <w:sz w:val="21"/>
                <w:szCs w:val="21"/>
                <w:lang w:val="en-US" w:eastAsia="zh-CN" w:bidi="ar-SA"/>
              </w:rPr>
              <w:t>2次/天，连续2天</w:t>
            </w:r>
          </w:p>
        </w:tc>
      </w:tr>
    </w:tbl>
    <w:p w14:paraId="319530BC">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auto"/>
        <w:outlineLvl w:val="1"/>
        <w:rPr>
          <w:rFonts w:hint="eastAsia" w:ascii="宋体" w:hAnsi="宋体" w:eastAsia="宋体" w:cs="宋体"/>
          <w:b/>
          <w:bCs/>
          <w:color w:val="000000"/>
          <w:kern w:val="0"/>
          <w:sz w:val="28"/>
          <w:szCs w:val="28"/>
          <w:lang w:val="en-US" w:eastAsia="zh-CN" w:bidi="ar"/>
        </w:rPr>
      </w:pPr>
      <w:bookmarkStart w:id="53" w:name="_Toc21285"/>
      <w:r>
        <w:rPr>
          <w:rFonts w:hint="default" w:ascii="宋体" w:hAnsi="宋体" w:eastAsia="宋体" w:cs="宋体"/>
          <w:b/>
          <w:bCs/>
          <w:color w:val="000000"/>
          <w:kern w:val="0"/>
          <w:sz w:val="28"/>
          <w:szCs w:val="28"/>
          <w:lang w:val="en-US" w:eastAsia="zh-CN" w:bidi="ar"/>
        </w:rPr>
        <w:t>7.</w:t>
      </w:r>
      <w:r>
        <w:rPr>
          <w:rFonts w:hint="eastAsia" w:ascii="宋体" w:hAnsi="宋体" w:eastAsia="宋体" w:cs="宋体"/>
          <w:b/>
          <w:bCs/>
          <w:color w:val="000000"/>
          <w:kern w:val="0"/>
          <w:sz w:val="28"/>
          <w:szCs w:val="28"/>
          <w:lang w:val="en-US" w:eastAsia="zh-CN" w:bidi="ar"/>
        </w:rPr>
        <w:t>3  废气</w:t>
      </w:r>
      <w:bookmarkEnd w:id="53"/>
    </w:p>
    <w:p w14:paraId="7601D751">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本项目废气验收监测点位、项目、频次见表</w:t>
      </w:r>
      <w:r>
        <w:rPr>
          <w:rFonts w:hint="default" w:ascii="宋体" w:hAnsi="宋体" w:eastAsia="宋体" w:cs="宋体"/>
          <w:color w:val="000000"/>
          <w:kern w:val="0"/>
          <w:sz w:val="24"/>
          <w:szCs w:val="24"/>
          <w:lang w:val="en-US" w:eastAsia="zh-CN" w:bidi="ar"/>
        </w:rPr>
        <w:t>7</w:t>
      </w:r>
      <w:r>
        <w:rPr>
          <w:rFonts w:hint="eastAsia" w:ascii="宋体" w:hAnsi="宋体" w:cs="宋体"/>
          <w:color w:val="000000"/>
          <w:kern w:val="0"/>
          <w:sz w:val="24"/>
          <w:szCs w:val="24"/>
          <w:lang w:val="en-US" w:eastAsia="zh-CN" w:bidi="ar"/>
        </w:rPr>
        <w:t>.3</w:t>
      </w:r>
      <w:r>
        <w:rPr>
          <w:rFonts w:hint="default" w:ascii="宋体" w:hAnsi="宋体" w:eastAsia="宋体" w:cs="宋体"/>
          <w:color w:val="000000"/>
          <w:kern w:val="0"/>
          <w:sz w:val="24"/>
          <w:szCs w:val="24"/>
          <w:lang w:val="en-US" w:eastAsia="zh-CN" w:bidi="ar"/>
        </w:rPr>
        <w:t>-</w:t>
      </w:r>
      <w:r>
        <w:rPr>
          <w:rFonts w:hint="eastAsia" w:ascii="宋体" w:hAnsi="宋体" w:cs="宋体"/>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w:t>
      </w:r>
    </w:p>
    <w:p w14:paraId="57B971EF">
      <w:pPr>
        <w:spacing w:before="40" w:line="240" w:lineRule="auto"/>
        <w:ind w:firstLine="0" w:firstLineChars="0"/>
        <w:contextualSpacing/>
        <w:jc w:val="center"/>
        <w:rPr>
          <w:rFonts w:hint="eastAsia" w:ascii="宋体" w:hAnsi="宋体" w:eastAsia="宋体" w:cs="宋体"/>
          <w:b/>
          <w:bCs/>
          <w:color w:val="auto"/>
          <w:szCs w:val="24"/>
        </w:rPr>
      </w:pPr>
      <w:r>
        <w:rPr>
          <w:rFonts w:hint="eastAsia" w:ascii="宋体" w:hAnsi="宋体" w:eastAsia="宋体" w:cs="宋体"/>
          <w:b/>
          <w:bCs/>
          <w:color w:val="auto"/>
          <w:szCs w:val="24"/>
          <w:lang w:val="en-US" w:eastAsia="zh-CN"/>
        </w:rPr>
        <w:t>表</w:t>
      </w:r>
      <w:r>
        <w:rPr>
          <w:rFonts w:hint="default" w:ascii="宋体" w:hAnsi="宋体" w:eastAsia="宋体" w:cs="宋体"/>
          <w:b/>
          <w:bCs/>
          <w:color w:val="auto"/>
          <w:szCs w:val="24"/>
          <w:lang w:val="en-US" w:eastAsia="zh-CN"/>
        </w:rPr>
        <w:t>7</w:t>
      </w:r>
      <w:r>
        <w:rPr>
          <w:rFonts w:hint="eastAsia" w:ascii="宋体" w:hAnsi="宋体" w:cs="宋体"/>
          <w:b/>
          <w:bCs/>
          <w:color w:val="auto"/>
          <w:szCs w:val="24"/>
          <w:lang w:val="en-US" w:eastAsia="zh-CN"/>
        </w:rPr>
        <w:t>.3</w:t>
      </w:r>
      <w:r>
        <w:rPr>
          <w:rFonts w:hint="default" w:ascii="宋体" w:hAnsi="宋体" w:eastAsia="宋体" w:cs="宋体"/>
          <w:b/>
          <w:bCs/>
          <w:color w:val="auto"/>
          <w:szCs w:val="24"/>
          <w:lang w:val="en-US" w:eastAsia="zh-CN"/>
        </w:rPr>
        <w:t>-</w:t>
      </w:r>
      <w:r>
        <w:rPr>
          <w:rFonts w:hint="eastAsia" w:ascii="宋体" w:hAnsi="宋体" w:cs="宋体"/>
          <w:b/>
          <w:bCs/>
          <w:color w:val="auto"/>
          <w:szCs w:val="24"/>
          <w:lang w:val="en-US" w:eastAsia="zh-CN"/>
        </w:rPr>
        <w:t>1</w:t>
      </w:r>
      <w:r>
        <w:rPr>
          <w:rFonts w:hint="default" w:ascii="宋体" w:hAnsi="宋体" w:eastAsia="宋体" w:cs="宋体"/>
          <w:b/>
          <w:bCs/>
          <w:color w:val="auto"/>
          <w:szCs w:val="24"/>
          <w:lang w:val="en-US" w:eastAsia="zh-CN"/>
        </w:rPr>
        <w:t xml:space="preserve"> </w:t>
      </w:r>
      <w:r>
        <w:rPr>
          <w:rFonts w:hint="eastAsia" w:ascii="宋体" w:hAnsi="宋体" w:eastAsia="宋体" w:cs="宋体"/>
          <w:b/>
          <w:bCs/>
          <w:color w:val="auto"/>
          <w:szCs w:val="24"/>
          <w:lang w:val="en-US" w:eastAsia="zh-CN"/>
        </w:rPr>
        <w:t xml:space="preserve"> 废气监测点位、项目、频次</w:t>
      </w:r>
    </w:p>
    <w:tbl>
      <w:tblPr>
        <w:tblStyle w:val="19"/>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28"/>
        <w:gridCol w:w="3379"/>
        <w:gridCol w:w="2361"/>
        <w:gridCol w:w="1649"/>
      </w:tblGrid>
      <w:tr w14:paraId="51AADF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62" w:type="pct"/>
            <w:noWrap w:val="0"/>
            <w:vAlign w:val="center"/>
          </w:tcPr>
          <w:p w14:paraId="729B8D00">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类别</w:t>
            </w:r>
          </w:p>
        </w:tc>
        <w:tc>
          <w:tcPr>
            <w:tcW w:w="1983" w:type="pct"/>
            <w:noWrap w:val="0"/>
            <w:vAlign w:val="center"/>
          </w:tcPr>
          <w:p w14:paraId="3CE30EF2">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监测点位</w:t>
            </w:r>
          </w:p>
        </w:tc>
        <w:tc>
          <w:tcPr>
            <w:tcW w:w="1386" w:type="pct"/>
            <w:noWrap w:val="0"/>
            <w:vAlign w:val="center"/>
          </w:tcPr>
          <w:p w14:paraId="1B5540E7">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监测因子</w:t>
            </w:r>
          </w:p>
        </w:tc>
        <w:tc>
          <w:tcPr>
            <w:tcW w:w="968" w:type="pct"/>
            <w:noWrap w:val="0"/>
            <w:vAlign w:val="center"/>
          </w:tcPr>
          <w:p w14:paraId="55A9696A">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监测频次</w:t>
            </w:r>
          </w:p>
        </w:tc>
      </w:tr>
      <w:tr w14:paraId="43F1E8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662" w:type="pct"/>
            <w:vMerge w:val="restart"/>
            <w:noWrap w:val="0"/>
            <w:vAlign w:val="center"/>
          </w:tcPr>
          <w:p w14:paraId="00A30981">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有组织</w:t>
            </w:r>
          </w:p>
        </w:tc>
        <w:tc>
          <w:tcPr>
            <w:tcW w:w="1983" w:type="pct"/>
            <w:noWrap w:val="0"/>
            <w:vAlign w:val="center"/>
          </w:tcPr>
          <w:p w14:paraId="4ACDC18E">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臭气处理设施进口</w:t>
            </w:r>
          </w:p>
        </w:tc>
        <w:tc>
          <w:tcPr>
            <w:tcW w:w="1386" w:type="pct"/>
            <w:noWrap w:val="0"/>
            <w:vAlign w:val="center"/>
          </w:tcPr>
          <w:p w14:paraId="672CFBC7">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氨、硫化氢、臭气浓度</w:t>
            </w:r>
          </w:p>
        </w:tc>
        <w:tc>
          <w:tcPr>
            <w:tcW w:w="968" w:type="pct"/>
            <w:vMerge w:val="restart"/>
            <w:noWrap w:val="0"/>
            <w:vAlign w:val="center"/>
          </w:tcPr>
          <w:p w14:paraId="0BAAC672">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正常生产状态下各连续监测2天，每天3次</w:t>
            </w:r>
          </w:p>
        </w:tc>
      </w:tr>
      <w:tr w14:paraId="25F3DF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2" w:type="pct"/>
            <w:vMerge w:val="continue"/>
            <w:noWrap w:val="0"/>
            <w:vAlign w:val="center"/>
          </w:tcPr>
          <w:p w14:paraId="4E5D0BB5">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color w:val="auto"/>
                <w:sz w:val="21"/>
                <w:szCs w:val="21"/>
              </w:rPr>
            </w:pPr>
          </w:p>
        </w:tc>
        <w:tc>
          <w:tcPr>
            <w:tcW w:w="1983" w:type="pct"/>
            <w:noWrap w:val="0"/>
            <w:vAlign w:val="center"/>
          </w:tcPr>
          <w:p w14:paraId="1E6F40A9">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臭气处理设施排放口（DA001）</w:t>
            </w:r>
          </w:p>
        </w:tc>
        <w:tc>
          <w:tcPr>
            <w:tcW w:w="1386" w:type="pct"/>
            <w:noWrap w:val="0"/>
            <w:vAlign w:val="center"/>
          </w:tcPr>
          <w:p w14:paraId="591C3484">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氨、硫化氢、臭气浓度</w:t>
            </w:r>
          </w:p>
        </w:tc>
        <w:tc>
          <w:tcPr>
            <w:tcW w:w="968" w:type="pct"/>
            <w:vMerge w:val="continue"/>
            <w:noWrap w:val="0"/>
            <w:vAlign w:val="center"/>
          </w:tcPr>
          <w:p w14:paraId="27D20F6E">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color w:val="auto"/>
                <w:sz w:val="21"/>
                <w:szCs w:val="21"/>
              </w:rPr>
            </w:pPr>
          </w:p>
        </w:tc>
      </w:tr>
      <w:tr w14:paraId="44B689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2" w:type="pct"/>
            <w:noWrap w:val="0"/>
            <w:vAlign w:val="center"/>
          </w:tcPr>
          <w:p w14:paraId="43E5D84D">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无组织</w:t>
            </w:r>
          </w:p>
        </w:tc>
        <w:tc>
          <w:tcPr>
            <w:tcW w:w="1983" w:type="pct"/>
            <w:noWrap w:val="0"/>
            <w:vAlign w:val="center"/>
          </w:tcPr>
          <w:p w14:paraId="21DCC937">
            <w:pPr>
              <w:pStyle w:val="34"/>
              <w:keepNext w:val="0"/>
              <w:keepLines w:val="0"/>
              <w:pageBreakBefore w:val="0"/>
              <w:widowControl/>
              <w:kinsoku/>
              <w:wordWrap/>
              <w:overflowPunct/>
              <w:topLinePunct w:val="0"/>
              <w:autoSpaceDE/>
              <w:autoSpaceDN/>
              <w:bidi w:val="0"/>
              <w:adjustRightInd/>
              <w:snapToGrid w:val="0"/>
              <w:spacing w:before="0" w:after="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厂界上风向1点位，下风向3点位</w:t>
            </w:r>
            <w:r>
              <w:rPr>
                <w:rFonts w:hint="eastAsia" w:hAnsi="宋体" w:cs="宋体"/>
                <w:color w:val="auto"/>
                <w:sz w:val="21"/>
                <w:szCs w:val="21"/>
                <w:lang w:val="en-US" w:eastAsia="zh-CN"/>
              </w:rPr>
              <w:t>、太阳泵站</w:t>
            </w:r>
          </w:p>
        </w:tc>
        <w:tc>
          <w:tcPr>
            <w:tcW w:w="1386" w:type="pct"/>
            <w:noWrap w:val="0"/>
            <w:vAlign w:val="center"/>
          </w:tcPr>
          <w:p w14:paraId="6789D6D2">
            <w:pPr>
              <w:pStyle w:val="34"/>
              <w:keepNext w:val="0"/>
              <w:keepLines w:val="0"/>
              <w:pageBreakBefore w:val="0"/>
              <w:widowControl/>
              <w:kinsoku/>
              <w:wordWrap/>
              <w:overflowPunct/>
              <w:topLinePunct w:val="0"/>
              <w:autoSpaceDE/>
              <w:autoSpaceDN/>
              <w:bidi w:val="0"/>
              <w:adjustRightInd/>
              <w:snapToGrid w:val="0"/>
              <w:spacing w:before="0" w:after="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氨、硫化氢、臭气浓度</w:t>
            </w:r>
          </w:p>
        </w:tc>
        <w:tc>
          <w:tcPr>
            <w:tcW w:w="968" w:type="pct"/>
            <w:noWrap w:val="0"/>
            <w:vAlign w:val="center"/>
          </w:tcPr>
          <w:p w14:paraId="691752C2">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正常生产状态下各连续2天，每天3次</w:t>
            </w:r>
          </w:p>
        </w:tc>
      </w:tr>
      <w:tr w14:paraId="0BF6D6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2" w:type="pct"/>
            <w:noWrap w:val="0"/>
            <w:vAlign w:val="center"/>
          </w:tcPr>
          <w:p w14:paraId="7C6BD422">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敏感点</w:t>
            </w:r>
          </w:p>
        </w:tc>
        <w:tc>
          <w:tcPr>
            <w:tcW w:w="1983" w:type="pct"/>
            <w:noWrap w:val="0"/>
            <w:vAlign w:val="center"/>
          </w:tcPr>
          <w:p w14:paraId="2593BDC6">
            <w:pPr>
              <w:keepNext w:val="0"/>
              <w:keepLines w:val="0"/>
              <w:widowControl/>
              <w:suppressLineNumbers w:val="0"/>
              <w:jc w:val="center"/>
              <w:rPr>
                <w:rFonts w:hint="eastAsia" w:ascii="宋体" w:hAnsi="宋体" w:eastAsia="宋体" w:cs="宋体"/>
                <w:color w:val="auto"/>
                <w:sz w:val="21"/>
                <w:szCs w:val="21"/>
                <w:lang w:val="en-US" w:eastAsia="zh-CN"/>
              </w:rPr>
            </w:pPr>
            <w:r>
              <w:rPr>
                <w:rFonts w:hint="eastAsia" w:ascii="宋体" w:hAnsi="宋体" w:eastAsia="宋体" w:cs="宋体"/>
                <w:color w:val="auto"/>
                <w:kern w:val="2"/>
                <w:sz w:val="21"/>
                <w:szCs w:val="21"/>
                <w:lang w:val="en-US" w:eastAsia="zh-CN" w:bidi="ar-SA"/>
              </w:rPr>
              <w:t>安王村</w:t>
            </w:r>
          </w:p>
        </w:tc>
        <w:tc>
          <w:tcPr>
            <w:tcW w:w="1386" w:type="pct"/>
            <w:noWrap w:val="0"/>
            <w:vAlign w:val="center"/>
          </w:tcPr>
          <w:p w14:paraId="1E8FB968">
            <w:pPr>
              <w:pStyle w:val="34"/>
              <w:keepNext w:val="0"/>
              <w:keepLines w:val="0"/>
              <w:pageBreakBefore w:val="0"/>
              <w:widowControl/>
              <w:kinsoku/>
              <w:wordWrap/>
              <w:overflowPunct/>
              <w:topLinePunct w:val="0"/>
              <w:autoSpaceDE/>
              <w:autoSpaceDN/>
              <w:bidi w:val="0"/>
              <w:adjustRightInd/>
              <w:snapToGrid w:val="0"/>
              <w:spacing w:before="0" w:after="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氨、硫化氢、臭气浓度</w:t>
            </w:r>
          </w:p>
        </w:tc>
        <w:tc>
          <w:tcPr>
            <w:tcW w:w="968" w:type="pct"/>
            <w:noWrap w:val="0"/>
            <w:vAlign w:val="center"/>
          </w:tcPr>
          <w:p w14:paraId="486AF329">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正常生产状态下各连续2天，每天3次</w:t>
            </w:r>
          </w:p>
        </w:tc>
      </w:tr>
    </w:tbl>
    <w:p w14:paraId="4E3A3DD4">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auto"/>
        <w:outlineLvl w:val="1"/>
        <w:rPr>
          <w:rFonts w:hint="eastAsia" w:ascii="宋体" w:hAnsi="宋体" w:eastAsia="宋体" w:cs="宋体"/>
          <w:b/>
          <w:bCs/>
          <w:color w:val="000000"/>
          <w:kern w:val="0"/>
          <w:sz w:val="28"/>
          <w:szCs w:val="28"/>
          <w:lang w:val="en-US" w:eastAsia="zh-CN" w:bidi="ar"/>
        </w:rPr>
      </w:pPr>
      <w:bookmarkStart w:id="54" w:name="_Toc27596"/>
      <w:r>
        <w:rPr>
          <w:rFonts w:hint="default" w:ascii="宋体" w:hAnsi="宋体" w:eastAsia="宋体" w:cs="宋体"/>
          <w:b/>
          <w:bCs/>
          <w:color w:val="000000"/>
          <w:kern w:val="0"/>
          <w:sz w:val="28"/>
          <w:szCs w:val="28"/>
          <w:lang w:val="en-US" w:eastAsia="zh-CN" w:bidi="ar"/>
        </w:rPr>
        <w:t>7.</w:t>
      </w:r>
      <w:r>
        <w:rPr>
          <w:rFonts w:hint="eastAsia" w:ascii="宋体" w:hAnsi="宋体" w:eastAsia="宋体" w:cs="宋体"/>
          <w:b/>
          <w:bCs/>
          <w:color w:val="000000"/>
          <w:kern w:val="0"/>
          <w:sz w:val="28"/>
          <w:szCs w:val="28"/>
          <w:lang w:val="en-US" w:eastAsia="zh-CN" w:bidi="ar"/>
        </w:rPr>
        <w:t>4  噪声</w:t>
      </w:r>
      <w:bookmarkEnd w:id="54"/>
    </w:p>
    <w:p w14:paraId="5A2FC4D3">
      <w:pPr>
        <w:pStyle w:val="9"/>
        <w:keepNext w:val="0"/>
        <w:keepLines w:val="0"/>
        <w:pageBreakBefore w:val="0"/>
        <w:widowControl w:val="0"/>
        <w:kinsoku/>
        <w:wordWrap/>
        <w:overflowPunct/>
        <w:topLinePunct w:val="0"/>
        <w:autoSpaceDE/>
        <w:autoSpaceDN/>
        <w:bidi w:val="0"/>
        <w:adjustRightInd/>
        <w:snapToGrid w:val="0"/>
        <w:spacing w:after="0" w:line="360" w:lineRule="auto"/>
        <w:ind w:left="0" w:leftChars="0" w:firstLine="0" w:firstLineChars="0"/>
        <w:jc w:val="both"/>
        <w:textAlignment w:val="auto"/>
        <w:outlineLvl w:val="9"/>
        <w:rPr>
          <w:rFonts w:hint="eastAsia" w:ascii="宋体" w:hAnsi="宋体" w:eastAsia="宋体" w:cs="宋体"/>
          <w:b/>
          <w:bCs/>
          <w:color w:val="000000"/>
          <w:kern w:val="0"/>
          <w:sz w:val="28"/>
          <w:szCs w:val="28"/>
          <w:lang w:val="en-US" w:eastAsia="zh-CN" w:bidi="ar"/>
        </w:rPr>
      </w:pPr>
      <w:r>
        <w:rPr>
          <w:rFonts w:hint="eastAsia" w:ascii="宋体" w:hAnsi="宋体" w:eastAsia="宋体" w:cs="宋体"/>
          <w:color w:val="auto"/>
        </w:rPr>
        <w:t>项目边界</w:t>
      </w:r>
      <w:r>
        <w:rPr>
          <w:rFonts w:hint="eastAsia" w:cs="宋体"/>
          <w:color w:val="auto"/>
          <w:lang w:eastAsia="zh-CN"/>
        </w:rPr>
        <w:t>、</w:t>
      </w:r>
      <w:r>
        <w:rPr>
          <w:rFonts w:hint="eastAsia" w:cs="宋体"/>
          <w:color w:val="auto"/>
          <w:lang w:val="en-US" w:eastAsia="zh-CN"/>
        </w:rPr>
        <w:t>敏感点</w:t>
      </w:r>
      <w:r>
        <w:rPr>
          <w:rFonts w:hint="eastAsia" w:ascii="宋体" w:hAnsi="宋体" w:eastAsia="宋体" w:cs="宋体"/>
          <w:color w:val="auto"/>
        </w:rPr>
        <w:t>噪声监测情况见表</w:t>
      </w:r>
      <w:r>
        <w:rPr>
          <w:rFonts w:hint="eastAsia" w:ascii="宋体" w:hAnsi="宋体" w:eastAsia="宋体" w:cs="宋体"/>
          <w:color w:val="auto"/>
          <w:lang w:val="en-US" w:eastAsia="zh-CN"/>
        </w:rPr>
        <w:t>7</w:t>
      </w:r>
      <w:r>
        <w:rPr>
          <w:rFonts w:hint="eastAsia" w:ascii="宋体" w:hAnsi="宋体" w:eastAsia="宋体" w:cs="宋体"/>
          <w:color w:val="auto"/>
        </w:rPr>
        <w:t>-</w:t>
      </w:r>
      <w:r>
        <w:rPr>
          <w:rFonts w:hint="eastAsia" w:ascii="宋体" w:hAnsi="宋体" w:eastAsia="宋体" w:cs="宋体"/>
          <w:color w:val="auto"/>
          <w:lang w:val="en-US" w:eastAsia="zh-CN"/>
        </w:rPr>
        <w:t>3</w:t>
      </w:r>
      <w:r>
        <w:rPr>
          <w:rFonts w:hint="eastAsia" w:ascii="宋体" w:hAnsi="宋体" w:eastAsia="宋体" w:cs="宋体"/>
          <w:color w:val="auto"/>
        </w:rPr>
        <w:t>。</w:t>
      </w:r>
    </w:p>
    <w:p w14:paraId="2017A969">
      <w:pPr>
        <w:pStyle w:val="35"/>
        <w:keepNext w:val="0"/>
        <w:keepLines w:val="0"/>
        <w:pageBreakBefore w:val="0"/>
        <w:widowControl w:val="0"/>
        <w:kinsoku/>
        <w:wordWrap/>
        <w:overflowPunct w:val="0"/>
        <w:topLinePunct w:val="0"/>
        <w:autoSpaceDE w:val="0"/>
        <w:autoSpaceDN w:val="0"/>
        <w:bidi w:val="0"/>
        <w:adjustRightInd w:val="0"/>
        <w:snapToGrid/>
        <w:spacing w:before="0" w:after="0"/>
        <w:textAlignment w:val="baseline"/>
        <w:rPr>
          <w:rFonts w:hint="eastAsia" w:ascii="宋体" w:hAnsi="宋体" w:eastAsia="宋体" w:cs="宋体"/>
          <w:bCs w:val="0"/>
          <w:lang w:val="en-US" w:eastAsia="zh-CN"/>
        </w:rPr>
      </w:pPr>
    </w:p>
    <w:p w14:paraId="6A698C2B">
      <w:pPr>
        <w:pStyle w:val="35"/>
        <w:keepNext w:val="0"/>
        <w:keepLines w:val="0"/>
        <w:pageBreakBefore w:val="0"/>
        <w:widowControl w:val="0"/>
        <w:kinsoku/>
        <w:wordWrap/>
        <w:overflowPunct w:val="0"/>
        <w:topLinePunct w:val="0"/>
        <w:autoSpaceDE w:val="0"/>
        <w:autoSpaceDN w:val="0"/>
        <w:bidi w:val="0"/>
        <w:adjustRightInd w:val="0"/>
        <w:snapToGrid/>
        <w:spacing w:before="0" w:after="0"/>
        <w:textAlignment w:val="baseline"/>
        <w:rPr>
          <w:rFonts w:hint="eastAsia" w:ascii="宋体" w:hAnsi="宋体" w:eastAsia="宋体" w:cs="宋体"/>
          <w:bCs w:val="0"/>
          <w:lang w:val="en-US" w:eastAsia="zh-CN"/>
        </w:rPr>
      </w:pPr>
    </w:p>
    <w:p w14:paraId="041F712A">
      <w:pPr>
        <w:pStyle w:val="35"/>
        <w:keepNext w:val="0"/>
        <w:keepLines w:val="0"/>
        <w:pageBreakBefore w:val="0"/>
        <w:widowControl w:val="0"/>
        <w:kinsoku/>
        <w:wordWrap/>
        <w:overflowPunct w:val="0"/>
        <w:topLinePunct w:val="0"/>
        <w:autoSpaceDE w:val="0"/>
        <w:autoSpaceDN w:val="0"/>
        <w:bidi w:val="0"/>
        <w:adjustRightInd w:val="0"/>
        <w:snapToGrid/>
        <w:spacing w:before="0" w:after="0"/>
        <w:textAlignment w:val="baseline"/>
        <w:rPr>
          <w:rFonts w:hint="eastAsia" w:ascii="宋体" w:hAnsi="宋体" w:eastAsia="宋体" w:cs="宋体"/>
          <w:bCs w:val="0"/>
          <w:lang w:val="en-US" w:eastAsia="zh-CN"/>
        </w:rPr>
      </w:pPr>
      <w:r>
        <w:rPr>
          <w:rFonts w:hint="eastAsia" w:cs="宋体"/>
          <w:bCs w:val="0"/>
          <w:lang w:val="en-US" w:eastAsia="zh-CN"/>
        </w:rPr>
        <w:t>7.4-1</w:t>
      </w:r>
      <w:r>
        <w:rPr>
          <w:rFonts w:hint="eastAsia" w:ascii="宋体" w:hAnsi="宋体" w:eastAsia="宋体" w:cs="宋体"/>
          <w:bCs w:val="0"/>
          <w:lang w:val="en-US" w:eastAsia="zh-CN"/>
        </w:rPr>
        <w:t xml:space="preserve">  项目厂界噪声监测情况</w:t>
      </w:r>
    </w:p>
    <w:tbl>
      <w:tblPr>
        <w:tblStyle w:val="1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1717"/>
        <w:gridCol w:w="1678"/>
        <w:gridCol w:w="2592"/>
        <w:gridCol w:w="1807"/>
      </w:tblGrid>
      <w:tr w14:paraId="6F111E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7" w:type="pct"/>
            <w:vMerge w:val="restart"/>
            <w:noWrap w:val="0"/>
            <w:vAlign w:val="center"/>
          </w:tcPr>
          <w:p w14:paraId="104474BD">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项目厂房边界噪声</w:t>
            </w:r>
          </w:p>
        </w:tc>
        <w:tc>
          <w:tcPr>
            <w:tcW w:w="1007" w:type="pct"/>
            <w:noWrap w:val="0"/>
            <w:vAlign w:val="center"/>
          </w:tcPr>
          <w:p w14:paraId="41C5106C">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监测点位</w:t>
            </w:r>
          </w:p>
        </w:tc>
        <w:tc>
          <w:tcPr>
            <w:tcW w:w="984" w:type="pct"/>
            <w:noWrap w:val="0"/>
            <w:vAlign w:val="center"/>
          </w:tcPr>
          <w:p w14:paraId="427C7F4A">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监测因子</w:t>
            </w:r>
          </w:p>
        </w:tc>
        <w:tc>
          <w:tcPr>
            <w:tcW w:w="1520" w:type="pct"/>
            <w:noWrap w:val="0"/>
            <w:vAlign w:val="center"/>
          </w:tcPr>
          <w:p w14:paraId="20E117F4">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监测频次</w:t>
            </w:r>
          </w:p>
        </w:tc>
        <w:tc>
          <w:tcPr>
            <w:tcW w:w="1060" w:type="pct"/>
            <w:noWrap w:val="0"/>
            <w:vAlign w:val="center"/>
          </w:tcPr>
          <w:p w14:paraId="64761C2F">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监测周期</w:t>
            </w:r>
          </w:p>
        </w:tc>
      </w:tr>
      <w:tr w14:paraId="16B283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7" w:type="pct"/>
            <w:vMerge w:val="continue"/>
            <w:noWrap w:val="0"/>
            <w:vAlign w:val="center"/>
          </w:tcPr>
          <w:p w14:paraId="1797E849">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b/>
                <w:bCs/>
                <w:color w:val="auto"/>
                <w:sz w:val="21"/>
                <w:szCs w:val="21"/>
              </w:rPr>
            </w:pPr>
          </w:p>
        </w:tc>
        <w:tc>
          <w:tcPr>
            <w:tcW w:w="1007" w:type="pct"/>
            <w:noWrap w:val="0"/>
            <w:vAlign w:val="center"/>
          </w:tcPr>
          <w:p w14:paraId="089C8065">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东边界</w:t>
            </w:r>
          </w:p>
        </w:tc>
        <w:tc>
          <w:tcPr>
            <w:tcW w:w="984" w:type="pct"/>
            <w:noWrap w:val="0"/>
            <w:vAlign w:val="center"/>
          </w:tcPr>
          <w:p w14:paraId="61659333">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等效A声级Lep</w:t>
            </w:r>
          </w:p>
        </w:tc>
        <w:tc>
          <w:tcPr>
            <w:tcW w:w="1520" w:type="pct"/>
            <w:noWrap w:val="0"/>
            <w:vAlign w:val="center"/>
          </w:tcPr>
          <w:p w14:paraId="0C9F1443">
            <w:pPr>
              <w:pStyle w:val="34"/>
              <w:keepNext w:val="0"/>
              <w:keepLines w:val="0"/>
              <w:pageBreakBefore w:val="0"/>
              <w:widowControl/>
              <w:kinsoku/>
              <w:wordWrap/>
              <w:overflowPunct/>
              <w:topLinePunct w:val="0"/>
              <w:autoSpaceDE/>
              <w:autoSpaceDN/>
              <w:bidi w:val="0"/>
              <w:adjustRightInd/>
              <w:snapToGrid w:val="0"/>
              <w:spacing w:before="0" w:after="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每天昼</w:t>
            </w:r>
            <w:r>
              <w:rPr>
                <w:rFonts w:hint="eastAsia" w:ascii="宋体" w:hAnsi="宋体" w:eastAsia="宋体" w:cs="宋体"/>
                <w:color w:val="auto"/>
                <w:sz w:val="21"/>
                <w:szCs w:val="21"/>
                <w:lang w:eastAsia="zh-CN"/>
              </w:rPr>
              <w:t>间</w:t>
            </w:r>
            <w:r>
              <w:rPr>
                <w:rFonts w:hint="eastAsia" w:ascii="宋体" w:hAnsi="宋体" w:eastAsia="宋体" w:cs="宋体"/>
                <w:color w:val="auto"/>
                <w:sz w:val="21"/>
                <w:szCs w:val="21"/>
                <w:lang w:val="en-US" w:eastAsia="zh-CN"/>
              </w:rPr>
              <w:t>夜间各</w:t>
            </w:r>
            <w:r>
              <w:rPr>
                <w:rFonts w:hint="eastAsia" w:ascii="宋体" w:hAnsi="宋体" w:eastAsia="宋体" w:cs="宋体"/>
                <w:color w:val="auto"/>
                <w:sz w:val="21"/>
                <w:szCs w:val="21"/>
              </w:rPr>
              <w:t>监测1次</w:t>
            </w:r>
          </w:p>
        </w:tc>
        <w:tc>
          <w:tcPr>
            <w:tcW w:w="1060" w:type="pct"/>
            <w:noWrap w:val="0"/>
            <w:vAlign w:val="center"/>
          </w:tcPr>
          <w:p w14:paraId="0FC6B9B9">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连续监测2天</w:t>
            </w:r>
          </w:p>
        </w:tc>
      </w:tr>
      <w:tr w14:paraId="1E7A45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7" w:type="pct"/>
            <w:vMerge w:val="continue"/>
            <w:noWrap w:val="0"/>
            <w:vAlign w:val="center"/>
          </w:tcPr>
          <w:p w14:paraId="7A356DE0">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b/>
                <w:bCs/>
                <w:color w:val="auto"/>
                <w:sz w:val="21"/>
                <w:szCs w:val="21"/>
              </w:rPr>
            </w:pPr>
          </w:p>
        </w:tc>
        <w:tc>
          <w:tcPr>
            <w:tcW w:w="1007" w:type="pct"/>
            <w:shd w:val="clear" w:color="auto" w:fill="auto"/>
            <w:noWrap w:val="0"/>
            <w:vAlign w:val="center"/>
          </w:tcPr>
          <w:p w14:paraId="1AA017B2">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南边界</w:t>
            </w:r>
          </w:p>
        </w:tc>
        <w:tc>
          <w:tcPr>
            <w:tcW w:w="984" w:type="pct"/>
            <w:noWrap w:val="0"/>
            <w:vAlign w:val="center"/>
          </w:tcPr>
          <w:p w14:paraId="523071F8">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等效A声级Lep</w:t>
            </w:r>
          </w:p>
        </w:tc>
        <w:tc>
          <w:tcPr>
            <w:tcW w:w="1520" w:type="pct"/>
            <w:noWrap w:val="0"/>
            <w:vAlign w:val="center"/>
          </w:tcPr>
          <w:p w14:paraId="65C7C531">
            <w:pPr>
              <w:keepNext w:val="0"/>
              <w:keepLines w:val="0"/>
              <w:pageBreakBefore w:val="0"/>
              <w:widowControl/>
              <w:kinsoku/>
              <w:wordWrap/>
              <w:overflowPunct/>
              <w:topLinePunct w:val="0"/>
              <w:autoSpaceDE/>
              <w:autoSpaceDN/>
              <w:bidi w:val="0"/>
              <w:adjustRightInd/>
              <w:snapToGrid w:val="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每天昼</w:t>
            </w:r>
            <w:r>
              <w:rPr>
                <w:rFonts w:hint="eastAsia" w:ascii="宋体" w:hAnsi="宋体" w:eastAsia="宋体" w:cs="宋体"/>
                <w:color w:val="auto"/>
                <w:sz w:val="21"/>
                <w:szCs w:val="21"/>
                <w:lang w:eastAsia="zh-CN"/>
              </w:rPr>
              <w:t>间</w:t>
            </w:r>
            <w:r>
              <w:rPr>
                <w:rFonts w:hint="eastAsia" w:ascii="宋体" w:hAnsi="宋体" w:eastAsia="宋体" w:cs="宋体"/>
                <w:color w:val="auto"/>
                <w:sz w:val="21"/>
                <w:szCs w:val="21"/>
                <w:lang w:val="en-US" w:eastAsia="zh-CN"/>
              </w:rPr>
              <w:t>夜间各</w:t>
            </w:r>
            <w:r>
              <w:rPr>
                <w:rFonts w:hint="eastAsia" w:ascii="宋体" w:hAnsi="宋体" w:eastAsia="宋体" w:cs="宋体"/>
                <w:color w:val="auto"/>
                <w:sz w:val="21"/>
                <w:szCs w:val="21"/>
              </w:rPr>
              <w:t>监测1次</w:t>
            </w:r>
          </w:p>
        </w:tc>
        <w:tc>
          <w:tcPr>
            <w:tcW w:w="1060" w:type="pct"/>
            <w:noWrap w:val="0"/>
            <w:vAlign w:val="center"/>
          </w:tcPr>
          <w:p w14:paraId="4A9460F1">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连续监测2天</w:t>
            </w:r>
          </w:p>
        </w:tc>
      </w:tr>
      <w:tr w14:paraId="13035D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7" w:type="pct"/>
            <w:vMerge w:val="continue"/>
            <w:noWrap w:val="0"/>
            <w:vAlign w:val="center"/>
          </w:tcPr>
          <w:p w14:paraId="7930B247">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b/>
                <w:bCs/>
                <w:color w:val="auto"/>
                <w:sz w:val="21"/>
                <w:szCs w:val="21"/>
              </w:rPr>
            </w:pPr>
          </w:p>
        </w:tc>
        <w:tc>
          <w:tcPr>
            <w:tcW w:w="1007" w:type="pct"/>
            <w:shd w:val="clear" w:color="auto" w:fill="auto"/>
            <w:noWrap w:val="0"/>
            <w:vAlign w:val="center"/>
          </w:tcPr>
          <w:p w14:paraId="6C9A1771">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西边界</w:t>
            </w:r>
          </w:p>
        </w:tc>
        <w:tc>
          <w:tcPr>
            <w:tcW w:w="984" w:type="pct"/>
            <w:noWrap w:val="0"/>
            <w:vAlign w:val="center"/>
          </w:tcPr>
          <w:p w14:paraId="4520D4F6">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等效A声级Lep</w:t>
            </w:r>
          </w:p>
        </w:tc>
        <w:tc>
          <w:tcPr>
            <w:tcW w:w="1520" w:type="pct"/>
            <w:noWrap w:val="0"/>
            <w:vAlign w:val="center"/>
          </w:tcPr>
          <w:p w14:paraId="1B9E3178">
            <w:pPr>
              <w:keepNext w:val="0"/>
              <w:keepLines w:val="0"/>
              <w:pageBreakBefore w:val="0"/>
              <w:widowControl/>
              <w:kinsoku/>
              <w:wordWrap/>
              <w:overflowPunct/>
              <w:topLinePunct w:val="0"/>
              <w:autoSpaceDE/>
              <w:autoSpaceDN/>
              <w:bidi w:val="0"/>
              <w:adjustRightInd/>
              <w:snapToGrid w:val="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每天昼</w:t>
            </w:r>
            <w:r>
              <w:rPr>
                <w:rFonts w:hint="eastAsia" w:ascii="宋体" w:hAnsi="宋体" w:eastAsia="宋体" w:cs="宋体"/>
                <w:color w:val="auto"/>
                <w:sz w:val="21"/>
                <w:szCs w:val="21"/>
                <w:lang w:eastAsia="zh-CN"/>
              </w:rPr>
              <w:t>间</w:t>
            </w:r>
            <w:r>
              <w:rPr>
                <w:rFonts w:hint="eastAsia" w:ascii="宋体" w:hAnsi="宋体" w:eastAsia="宋体" w:cs="宋体"/>
                <w:color w:val="auto"/>
                <w:sz w:val="21"/>
                <w:szCs w:val="21"/>
                <w:lang w:val="en-US" w:eastAsia="zh-CN"/>
              </w:rPr>
              <w:t>夜间各</w:t>
            </w:r>
            <w:r>
              <w:rPr>
                <w:rFonts w:hint="eastAsia" w:ascii="宋体" w:hAnsi="宋体" w:eastAsia="宋体" w:cs="宋体"/>
                <w:color w:val="auto"/>
                <w:sz w:val="21"/>
                <w:szCs w:val="21"/>
              </w:rPr>
              <w:t>监测1次</w:t>
            </w:r>
          </w:p>
        </w:tc>
        <w:tc>
          <w:tcPr>
            <w:tcW w:w="1060" w:type="pct"/>
            <w:noWrap w:val="0"/>
            <w:vAlign w:val="center"/>
          </w:tcPr>
          <w:p w14:paraId="085342B8">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连续监测2天</w:t>
            </w:r>
          </w:p>
        </w:tc>
      </w:tr>
      <w:tr w14:paraId="25595D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7" w:type="pct"/>
            <w:vMerge w:val="continue"/>
            <w:noWrap w:val="0"/>
            <w:vAlign w:val="center"/>
          </w:tcPr>
          <w:p w14:paraId="7EDB7D32">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b/>
                <w:bCs/>
                <w:color w:val="auto"/>
                <w:sz w:val="21"/>
                <w:szCs w:val="21"/>
              </w:rPr>
            </w:pPr>
          </w:p>
        </w:tc>
        <w:tc>
          <w:tcPr>
            <w:tcW w:w="1007" w:type="pct"/>
            <w:noWrap w:val="0"/>
            <w:vAlign w:val="center"/>
          </w:tcPr>
          <w:p w14:paraId="462F33E7">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北边界</w:t>
            </w:r>
          </w:p>
        </w:tc>
        <w:tc>
          <w:tcPr>
            <w:tcW w:w="984" w:type="pct"/>
            <w:noWrap w:val="0"/>
            <w:vAlign w:val="center"/>
          </w:tcPr>
          <w:p w14:paraId="4B4B58C5">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等效A声级Lep</w:t>
            </w:r>
          </w:p>
        </w:tc>
        <w:tc>
          <w:tcPr>
            <w:tcW w:w="1520" w:type="pct"/>
            <w:noWrap w:val="0"/>
            <w:vAlign w:val="center"/>
          </w:tcPr>
          <w:p w14:paraId="7E4E7747">
            <w:pPr>
              <w:keepNext w:val="0"/>
              <w:keepLines w:val="0"/>
              <w:pageBreakBefore w:val="0"/>
              <w:widowControl/>
              <w:kinsoku/>
              <w:wordWrap/>
              <w:overflowPunct/>
              <w:topLinePunct w:val="0"/>
              <w:autoSpaceDE/>
              <w:autoSpaceDN/>
              <w:bidi w:val="0"/>
              <w:adjustRightInd/>
              <w:snapToGrid w:val="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每天昼</w:t>
            </w:r>
            <w:r>
              <w:rPr>
                <w:rFonts w:hint="eastAsia" w:ascii="宋体" w:hAnsi="宋体" w:eastAsia="宋体" w:cs="宋体"/>
                <w:color w:val="auto"/>
                <w:sz w:val="21"/>
                <w:szCs w:val="21"/>
                <w:lang w:eastAsia="zh-CN"/>
              </w:rPr>
              <w:t>间</w:t>
            </w:r>
            <w:r>
              <w:rPr>
                <w:rFonts w:hint="eastAsia" w:ascii="宋体" w:hAnsi="宋体" w:eastAsia="宋体" w:cs="宋体"/>
                <w:color w:val="auto"/>
                <w:sz w:val="21"/>
                <w:szCs w:val="21"/>
                <w:lang w:val="en-US" w:eastAsia="zh-CN"/>
              </w:rPr>
              <w:t>夜间各</w:t>
            </w:r>
            <w:r>
              <w:rPr>
                <w:rFonts w:hint="eastAsia" w:ascii="宋体" w:hAnsi="宋体" w:eastAsia="宋体" w:cs="宋体"/>
                <w:color w:val="auto"/>
                <w:sz w:val="21"/>
                <w:szCs w:val="21"/>
              </w:rPr>
              <w:t>监测1次</w:t>
            </w:r>
          </w:p>
        </w:tc>
        <w:tc>
          <w:tcPr>
            <w:tcW w:w="1060" w:type="pct"/>
            <w:noWrap w:val="0"/>
            <w:vAlign w:val="center"/>
          </w:tcPr>
          <w:p w14:paraId="658EB3DB">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连续监测2天</w:t>
            </w:r>
          </w:p>
        </w:tc>
      </w:tr>
      <w:tr w14:paraId="4AD431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7" w:type="pct"/>
            <w:vMerge w:val="continue"/>
            <w:noWrap w:val="0"/>
            <w:vAlign w:val="center"/>
          </w:tcPr>
          <w:p w14:paraId="0B7D762C">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b/>
                <w:bCs/>
                <w:color w:val="auto"/>
                <w:sz w:val="21"/>
                <w:szCs w:val="21"/>
              </w:rPr>
            </w:pPr>
          </w:p>
        </w:tc>
        <w:tc>
          <w:tcPr>
            <w:tcW w:w="1007" w:type="pct"/>
            <w:noWrap w:val="0"/>
            <w:vAlign w:val="center"/>
          </w:tcPr>
          <w:p w14:paraId="36654369">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太阳泵站</w:t>
            </w:r>
          </w:p>
        </w:tc>
        <w:tc>
          <w:tcPr>
            <w:tcW w:w="984" w:type="pct"/>
            <w:shd w:val="clear" w:color="auto" w:fill="auto"/>
            <w:noWrap w:val="0"/>
            <w:vAlign w:val="center"/>
          </w:tcPr>
          <w:p w14:paraId="40B12404">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等效A声级Lep</w:t>
            </w:r>
          </w:p>
        </w:tc>
        <w:tc>
          <w:tcPr>
            <w:tcW w:w="1520" w:type="pct"/>
            <w:shd w:val="clear" w:color="auto" w:fill="auto"/>
            <w:noWrap w:val="0"/>
            <w:vAlign w:val="center"/>
          </w:tcPr>
          <w:p w14:paraId="019C8A9A">
            <w:pPr>
              <w:keepNext w:val="0"/>
              <w:keepLines w:val="0"/>
              <w:pageBreakBefore w:val="0"/>
              <w:widowControl/>
              <w:kinsoku/>
              <w:wordWrap/>
              <w:overflowPunct/>
              <w:topLinePunct w:val="0"/>
              <w:autoSpaceDE/>
              <w:autoSpaceDN/>
              <w:bidi w:val="0"/>
              <w:adjustRightInd/>
              <w:snapToGrid w:val="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每天昼</w:t>
            </w:r>
            <w:r>
              <w:rPr>
                <w:rFonts w:hint="eastAsia" w:ascii="宋体" w:hAnsi="宋体" w:eastAsia="宋体" w:cs="宋体"/>
                <w:color w:val="auto"/>
                <w:sz w:val="21"/>
                <w:szCs w:val="21"/>
                <w:lang w:eastAsia="zh-CN"/>
              </w:rPr>
              <w:t>间</w:t>
            </w:r>
            <w:r>
              <w:rPr>
                <w:rFonts w:hint="eastAsia" w:ascii="宋体" w:hAnsi="宋体" w:eastAsia="宋体" w:cs="宋体"/>
                <w:color w:val="auto"/>
                <w:sz w:val="21"/>
                <w:szCs w:val="21"/>
                <w:lang w:val="en-US" w:eastAsia="zh-CN"/>
              </w:rPr>
              <w:t>夜间各</w:t>
            </w:r>
            <w:r>
              <w:rPr>
                <w:rFonts w:hint="eastAsia" w:ascii="宋体" w:hAnsi="宋体" w:eastAsia="宋体" w:cs="宋体"/>
                <w:color w:val="auto"/>
                <w:sz w:val="21"/>
                <w:szCs w:val="21"/>
              </w:rPr>
              <w:t>监测1次</w:t>
            </w:r>
          </w:p>
        </w:tc>
        <w:tc>
          <w:tcPr>
            <w:tcW w:w="1060" w:type="pct"/>
            <w:shd w:val="clear" w:color="auto" w:fill="auto"/>
            <w:noWrap w:val="0"/>
            <w:vAlign w:val="center"/>
          </w:tcPr>
          <w:p w14:paraId="65F4FD5D">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连续监测2天</w:t>
            </w:r>
          </w:p>
        </w:tc>
      </w:tr>
      <w:tr w14:paraId="325C73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7" w:type="pct"/>
            <w:noWrap w:val="0"/>
            <w:vAlign w:val="center"/>
          </w:tcPr>
          <w:p w14:paraId="1E126F13">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环境噪声</w:t>
            </w:r>
          </w:p>
        </w:tc>
        <w:tc>
          <w:tcPr>
            <w:tcW w:w="1007" w:type="pct"/>
            <w:noWrap w:val="0"/>
            <w:vAlign w:val="center"/>
          </w:tcPr>
          <w:p w14:paraId="4F65782B">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kern w:val="2"/>
                <w:sz w:val="21"/>
                <w:szCs w:val="21"/>
                <w:lang w:val="en-US" w:eastAsia="zh-CN" w:bidi="ar-SA"/>
              </w:rPr>
              <w:t>安王村</w:t>
            </w:r>
          </w:p>
        </w:tc>
        <w:tc>
          <w:tcPr>
            <w:tcW w:w="984" w:type="pct"/>
            <w:noWrap w:val="0"/>
            <w:vAlign w:val="center"/>
          </w:tcPr>
          <w:p w14:paraId="078AD3DA">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等效A声级Lep</w:t>
            </w:r>
          </w:p>
        </w:tc>
        <w:tc>
          <w:tcPr>
            <w:tcW w:w="1520" w:type="pct"/>
            <w:noWrap w:val="0"/>
            <w:vAlign w:val="center"/>
          </w:tcPr>
          <w:p w14:paraId="1A2892BF">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每天昼</w:t>
            </w:r>
            <w:r>
              <w:rPr>
                <w:rFonts w:hint="eastAsia" w:ascii="宋体" w:hAnsi="宋体" w:eastAsia="宋体" w:cs="宋体"/>
                <w:color w:val="auto"/>
                <w:sz w:val="21"/>
                <w:szCs w:val="21"/>
                <w:lang w:eastAsia="zh-CN"/>
              </w:rPr>
              <w:t>间</w:t>
            </w:r>
            <w:r>
              <w:rPr>
                <w:rFonts w:hint="eastAsia" w:ascii="宋体" w:hAnsi="宋体" w:eastAsia="宋体" w:cs="宋体"/>
                <w:color w:val="auto"/>
                <w:sz w:val="21"/>
                <w:szCs w:val="21"/>
                <w:lang w:val="en-US" w:eastAsia="zh-CN"/>
              </w:rPr>
              <w:t>夜间各</w:t>
            </w:r>
            <w:r>
              <w:rPr>
                <w:rFonts w:hint="eastAsia" w:ascii="宋体" w:hAnsi="宋体" w:eastAsia="宋体" w:cs="宋体"/>
                <w:color w:val="auto"/>
                <w:sz w:val="21"/>
                <w:szCs w:val="21"/>
              </w:rPr>
              <w:t>监测1次</w:t>
            </w:r>
          </w:p>
        </w:tc>
        <w:tc>
          <w:tcPr>
            <w:tcW w:w="1060" w:type="pct"/>
            <w:noWrap w:val="0"/>
            <w:vAlign w:val="center"/>
          </w:tcPr>
          <w:p w14:paraId="2E990CE3">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连续监测2天</w:t>
            </w:r>
          </w:p>
        </w:tc>
      </w:tr>
    </w:tbl>
    <w:p w14:paraId="3B61F77A">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auto"/>
        <w:outlineLvl w:val="1"/>
        <w:rPr>
          <w:rFonts w:hint="eastAsia" w:ascii="宋体" w:hAnsi="宋体" w:eastAsia="宋体" w:cs="宋体"/>
          <w:b/>
          <w:bCs/>
          <w:color w:val="000000"/>
          <w:kern w:val="0"/>
          <w:sz w:val="28"/>
          <w:szCs w:val="28"/>
          <w:lang w:val="en-US" w:eastAsia="zh-CN" w:bidi="ar"/>
        </w:rPr>
      </w:pPr>
      <w:bookmarkStart w:id="55" w:name="_Toc11688"/>
      <w:r>
        <w:rPr>
          <w:rFonts w:hint="eastAsia" w:ascii="宋体" w:hAnsi="宋体" w:eastAsia="宋体" w:cs="宋体"/>
          <w:b/>
          <w:bCs/>
          <w:color w:val="000000"/>
          <w:kern w:val="0"/>
          <w:sz w:val="28"/>
          <w:szCs w:val="28"/>
          <w:lang w:val="en-US" w:eastAsia="zh-CN" w:bidi="ar"/>
        </w:rPr>
        <w:t>7.5  固（液）体废物监测</w:t>
      </w:r>
      <w:bookmarkEnd w:id="55"/>
      <w:r>
        <w:rPr>
          <w:rFonts w:hint="eastAsia" w:ascii="宋体" w:hAnsi="宋体" w:eastAsia="宋体" w:cs="宋体"/>
          <w:b/>
          <w:bCs/>
          <w:color w:val="000000"/>
          <w:kern w:val="0"/>
          <w:sz w:val="28"/>
          <w:szCs w:val="28"/>
          <w:lang w:val="en-US" w:eastAsia="zh-CN" w:bidi="ar"/>
        </w:rPr>
        <w:t xml:space="preserve"> </w:t>
      </w:r>
    </w:p>
    <w:p w14:paraId="04355DC9">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rPr>
      </w:pPr>
      <w:r>
        <w:rPr>
          <w:rFonts w:hint="eastAsia" w:ascii="宋体" w:hAnsi="宋体" w:eastAsia="宋体" w:cs="宋体"/>
          <w:color w:val="000000"/>
          <w:kern w:val="0"/>
          <w:sz w:val="24"/>
          <w:szCs w:val="24"/>
          <w:lang w:val="en-US" w:eastAsia="zh-CN" w:bidi="ar"/>
        </w:rPr>
        <w:t xml:space="preserve">本项目产生的固体废物均委托处置，处置率100%，不涉及监测内容。 </w:t>
      </w:r>
    </w:p>
    <w:p w14:paraId="43FBDC7D">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auto"/>
        <w:outlineLvl w:val="1"/>
        <w:rPr>
          <w:rFonts w:hint="eastAsia" w:ascii="宋体" w:hAnsi="宋体" w:eastAsia="宋体" w:cs="宋体"/>
          <w:b/>
          <w:bCs/>
          <w:color w:val="000000"/>
          <w:kern w:val="0"/>
          <w:sz w:val="28"/>
          <w:szCs w:val="28"/>
          <w:lang w:val="en-US" w:eastAsia="zh-CN" w:bidi="ar"/>
        </w:rPr>
      </w:pPr>
      <w:bookmarkStart w:id="56" w:name="_Toc26636"/>
      <w:r>
        <w:rPr>
          <w:rFonts w:hint="default" w:ascii="宋体" w:hAnsi="宋体" w:eastAsia="宋体" w:cs="宋体"/>
          <w:b/>
          <w:bCs/>
          <w:color w:val="000000"/>
          <w:kern w:val="0"/>
          <w:sz w:val="28"/>
          <w:szCs w:val="28"/>
          <w:lang w:val="en-US" w:eastAsia="zh-CN" w:bidi="ar"/>
        </w:rPr>
        <w:t>7.</w:t>
      </w:r>
      <w:r>
        <w:rPr>
          <w:rFonts w:hint="eastAsia" w:ascii="宋体" w:hAnsi="宋体" w:eastAsia="宋体" w:cs="宋体"/>
          <w:b/>
          <w:bCs/>
          <w:color w:val="000000"/>
          <w:kern w:val="0"/>
          <w:sz w:val="28"/>
          <w:szCs w:val="28"/>
          <w:lang w:val="en-US" w:eastAsia="zh-CN" w:bidi="ar"/>
        </w:rPr>
        <w:t>6  辐射监测</w:t>
      </w:r>
      <w:bookmarkEnd w:id="56"/>
      <w:r>
        <w:rPr>
          <w:rFonts w:hint="eastAsia" w:ascii="宋体" w:hAnsi="宋体" w:eastAsia="宋体" w:cs="宋体"/>
          <w:b/>
          <w:bCs/>
          <w:color w:val="000000"/>
          <w:kern w:val="0"/>
          <w:sz w:val="28"/>
          <w:szCs w:val="28"/>
          <w:lang w:val="en-US" w:eastAsia="zh-CN" w:bidi="ar"/>
        </w:rPr>
        <w:t xml:space="preserve"> </w:t>
      </w:r>
    </w:p>
    <w:p w14:paraId="24F7DA01">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本项目不涉及辐射类污染的产生和排放，无相关监测内容。 </w:t>
      </w:r>
    </w:p>
    <w:p w14:paraId="52858339">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auto"/>
        <w:outlineLvl w:val="1"/>
        <w:rPr>
          <w:rFonts w:hint="eastAsia" w:ascii="宋体" w:hAnsi="宋体" w:eastAsia="宋体" w:cs="宋体"/>
          <w:b/>
          <w:bCs/>
          <w:color w:val="000000"/>
          <w:kern w:val="0"/>
          <w:sz w:val="28"/>
          <w:szCs w:val="28"/>
          <w:lang w:val="en-US" w:eastAsia="zh-CN" w:bidi="ar"/>
        </w:rPr>
      </w:pPr>
      <w:bookmarkStart w:id="57" w:name="_Toc3747"/>
      <w:r>
        <w:rPr>
          <w:rFonts w:hint="default" w:ascii="宋体" w:hAnsi="宋体" w:eastAsia="宋体" w:cs="宋体"/>
          <w:b/>
          <w:bCs/>
          <w:color w:val="000000"/>
          <w:kern w:val="0"/>
          <w:sz w:val="28"/>
          <w:szCs w:val="28"/>
          <w:lang w:val="en-US" w:eastAsia="zh-CN" w:bidi="ar"/>
        </w:rPr>
        <w:t>7.</w:t>
      </w:r>
      <w:r>
        <w:rPr>
          <w:rFonts w:hint="eastAsia" w:ascii="宋体" w:hAnsi="宋体" w:eastAsia="宋体" w:cs="宋体"/>
          <w:b/>
          <w:bCs/>
          <w:color w:val="000000"/>
          <w:kern w:val="0"/>
          <w:sz w:val="28"/>
          <w:szCs w:val="28"/>
          <w:lang w:val="en-US" w:eastAsia="zh-CN" w:bidi="ar"/>
        </w:rPr>
        <w:t>7  环境质量监测</w:t>
      </w:r>
      <w:bookmarkEnd w:id="57"/>
    </w:p>
    <w:p w14:paraId="3B7B5D69">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环评文件及审批意见中不涉及对环境敏感保护目标进行环境质量监测的要求。故不设环境质量监测内容。本项目环评文件及审批意见中不涉及对环境敏感保护目标进行环境质量监测的要求。故不设环境质量监测内容。</w:t>
      </w:r>
    </w:p>
    <w:p w14:paraId="253A92A3">
      <w:pP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br w:type="page"/>
      </w:r>
    </w:p>
    <w:p w14:paraId="77F3B92C">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0"/>
        <w:rPr>
          <w:rFonts w:hint="eastAsia" w:ascii="宋体" w:hAnsi="宋体" w:eastAsia="宋体" w:cs="宋体"/>
          <w:b/>
          <w:bCs/>
          <w:color w:val="000000"/>
          <w:kern w:val="0"/>
          <w:sz w:val="32"/>
          <w:szCs w:val="32"/>
          <w:lang w:val="en-US" w:eastAsia="zh-CN" w:bidi="ar"/>
        </w:rPr>
      </w:pPr>
      <w:bookmarkStart w:id="58" w:name="_Toc22663"/>
      <w:r>
        <w:rPr>
          <w:rFonts w:hint="default" w:ascii="宋体" w:hAnsi="宋体" w:eastAsia="宋体" w:cs="宋体"/>
          <w:b/>
          <w:bCs/>
          <w:color w:val="000000"/>
          <w:kern w:val="0"/>
          <w:sz w:val="32"/>
          <w:szCs w:val="32"/>
          <w:lang w:val="en-US" w:eastAsia="zh-CN" w:bidi="ar"/>
        </w:rPr>
        <w:t>8.</w:t>
      </w:r>
      <w:r>
        <w:rPr>
          <w:rFonts w:hint="eastAsia" w:ascii="宋体" w:hAnsi="宋体" w:eastAsia="宋体" w:cs="宋体"/>
          <w:b/>
          <w:bCs/>
          <w:color w:val="000000"/>
          <w:kern w:val="0"/>
          <w:sz w:val="32"/>
          <w:szCs w:val="32"/>
          <w:lang w:val="en-US" w:eastAsia="zh-CN" w:bidi="ar"/>
        </w:rPr>
        <w:t xml:space="preserve"> </w:t>
      </w:r>
      <w:r>
        <w:rPr>
          <w:rFonts w:hint="default" w:ascii="宋体" w:hAnsi="宋体" w:eastAsia="宋体" w:cs="宋体"/>
          <w:b/>
          <w:bCs/>
          <w:color w:val="000000"/>
          <w:kern w:val="0"/>
          <w:sz w:val="32"/>
          <w:szCs w:val="32"/>
          <w:lang w:val="en-US" w:eastAsia="zh-CN" w:bidi="ar"/>
        </w:rPr>
        <w:t xml:space="preserve"> </w:t>
      </w:r>
      <w:r>
        <w:rPr>
          <w:rFonts w:hint="eastAsia" w:ascii="宋体" w:hAnsi="宋体" w:eastAsia="宋体" w:cs="宋体"/>
          <w:b/>
          <w:bCs/>
          <w:color w:val="000000"/>
          <w:kern w:val="0"/>
          <w:sz w:val="32"/>
          <w:szCs w:val="32"/>
          <w:lang w:val="en-US" w:eastAsia="zh-CN" w:bidi="ar"/>
        </w:rPr>
        <w:t>质量保证和质量控制</w:t>
      </w:r>
      <w:bookmarkEnd w:id="58"/>
    </w:p>
    <w:p w14:paraId="5D8291C5">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1"/>
        <w:rPr>
          <w:rFonts w:hint="eastAsia" w:ascii="宋体" w:hAnsi="宋体" w:eastAsia="宋体" w:cs="宋体"/>
          <w:sz w:val="28"/>
          <w:szCs w:val="28"/>
        </w:rPr>
      </w:pPr>
      <w:bookmarkStart w:id="59" w:name="_Toc17685"/>
      <w:r>
        <w:rPr>
          <w:rFonts w:hint="eastAsia" w:ascii="宋体" w:hAnsi="宋体" w:eastAsia="宋体" w:cs="宋体"/>
          <w:b/>
          <w:bCs/>
          <w:color w:val="000000"/>
          <w:kern w:val="0"/>
          <w:sz w:val="28"/>
          <w:szCs w:val="28"/>
          <w:lang w:val="en-US" w:eastAsia="zh-CN" w:bidi="ar"/>
        </w:rPr>
        <w:t>8.1  监测分析方法</w:t>
      </w:r>
      <w:bookmarkEnd w:id="59"/>
    </w:p>
    <w:p w14:paraId="77E3404C">
      <w:pPr>
        <w:pStyle w:val="2"/>
        <w:keepNext w:val="0"/>
        <w:keepLines w:val="0"/>
        <w:pageBreakBefore w:val="0"/>
        <w:widowControl w:val="0"/>
        <w:kinsoku/>
        <w:wordWrap/>
        <w:overflowPunct/>
        <w:topLinePunct w:val="0"/>
        <w:autoSpaceDE/>
        <w:autoSpaceDN/>
        <w:bidi w:val="0"/>
        <w:adjustRightInd/>
        <w:snapToGrid w:val="0"/>
        <w:spacing w:after="0" w:line="360" w:lineRule="auto"/>
        <w:ind w:left="0" w:leftChars="0" w:firstLine="480" w:firstLineChars="200"/>
        <w:textAlignment w:val="auto"/>
        <w:rPr>
          <w:rFonts w:hint="eastAsia"/>
          <w:lang w:val="en-US" w:eastAsia="zh-CN"/>
        </w:rPr>
      </w:pPr>
      <w:r>
        <w:rPr>
          <w:rFonts w:hint="eastAsia" w:ascii="宋体" w:hAnsi="宋体" w:eastAsia="宋体" w:cs="宋体"/>
          <w:sz w:val="24"/>
          <w:szCs w:val="24"/>
          <w:lang w:val="en-US" w:eastAsia="zh-CN"/>
        </w:rPr>
        <w:t>项目</w:t>
      </w:r>
      <w:r>
        <w:rPr>
          <w:rFonts w:hint="eastAsia" w:ascii="宋体" w:hAnsi="宋体" w:eastAsia="宋体" w:cs="宋体"/>
          <w:sz w:val="24"/>
          <w:szCs w:val="24"/>
        </w:rPr>
        <w:t>监测方法及检测仪器见表</w:t>
      </w:r>
      <w:r>
        <w:rPr>
          <w:rFonts w:hint="eastAsia" w:ascii="宋体" w:hAnsi="宋体" w:eastAsia="宋体" w:cs="宋体"/>
          <w:sz w:val="24"/>
          <w:szCs w:val="24"/>
          <w:lang w:val="en-US" w:eastAsia="zh-CN"/>
        </w:rPr>
        <w:t>8</w:t>
      </w:r>
      <w:r>
        <w:rPr>
          <w:rFonts w:hint="eastAsia" w:ascii="宋体" w:hAnsi="宋体" w:eastAsia="宋体" w:cs="宋体"/>
          <w:sz w:val="24"/>
          <w:szCs w:val="24"/>
        </w:rPr>
        <w:t>-1。</w:t>
      </w:r>
    </w:p>
    <w:p w14:paraId="600F3B6C">
      <w:pPr>
        <w:pStyle w:val="35"/>
        <w:keepNext w:val="0"/>
        <w:keepLines w:val="0"/>
        <w:pageBreakBefore w:val="0"/>
        <w:widowControl w:val="0"/>
        <w:kinsoku/>
        <w:wordWrap/>
        <w:overflowPunct w:val="0"/>
        <w:topLinePunct w:val="0"/>
        <w:autoSpaceDE w:val="0"/>
        <w:autoSpaceDN w:val="0"/>
        <w:bidi w:val="0"/>
        <w:adjustRightInd w:val="0"/>
        <w:snapToGrid/>
        <w:spacing w:before="0" w:after="0"/>
        <w:textAlignment w:val="baseline"/>
        <w:rPr>
          <w:rFonts w:hint="eastAsia" w:ascii="宋体" w:hAnsi="宋体" w:eastAsia="宋体" w:cs="宋体"/>
        </w:rPr>
      </w:pPr>
      <w:r>
        <w:rPr>
          <w:rFonts w:hint="eastAsia" w:ascii="宋体" w:hAnsi="宋体" w:eastAsia="宋体" w:cs="宋体"/>
          <w:bCs w:val="0"/>
          <w:lang w:val="en-US" w:eastAsia="zh-CN"/>
        </w:rPr>
        <w:t>表</w:t>
      </w:r>
      <w:r>
        <w:rPr>
          <w:rFonts w:hint="eastAsia" w:eastAsia="宋体" w:cs="宋体"/>
          <w:bCs w:val="0"/>
          <w:lang w:val="en-US" w:eastAsia="zh-CN"/>
        </w:rPr>
        <w:t>8</w:t>
      </w:r>
      <w:r>
        <w:rPr>
          <w:rFonts w:hint="eastAsia" w:ascii="宋体" w:hAnsi="宋体" w:eastAsia="宋体" w:cs="宋体"/>
          <w:bCs w:val="0"/>
          <w:lang w:val="en-US" w:eastAsia="zh-CN"/>
        </w:rPr>
        <w:t>-1  废气、噪声监测分析方法</w:t>
      </w:r>
    </w:p>
    <w:tbl>
      <w:tblPr>
        <w:tblStyle w:val="19"/>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1060"/>
        <w:gridCol w:w="3263"/>
        <w:gridCol w:w="2229"/>
        <w:gridCol w:w="1321"/>
      </w:tblGrid>
      <w:tr w14:paraId="0F90BD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8" w:type="pct"/>
            <w:tcBorders>
              <w:tl2br w:val="nil"/>
              <w:tr2bl w:val="nil"/>
            </w:tcBorders>
            <w:noWrap w:val="0"/>
            <w:vAlign w:val="center"/>
          </w:tcPr>
          <w:p w14:paraId="6932876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样品类别</w:t>
            </w:r>
          </w:p>
        </w:tc>
        <w:tc>
          <w:tcPr>
            <w:tcW w:w="622" w:type="pct"/>
            <w:tcBorders>
              <w:tl2br w:val="nil"/>
              <w:tr2bl w:val="nil"/>
            </w:tcBorders>
            <w:noWrap w:val="0"/>
            <w:vAlign w:val="center"/>
          </w:tcPr>
          <w:p w14:paraId="1637375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检测项目</w:t>
            </w:r>
          </w:p>
        </w:tc>
        <w:tc>
          <w:tcPr>
            <w:tcW w:w="1915" w:type="pct"/>
            <w:tcBorders>
              <w:tl2br w:val="nil"/>
              <w:tr2bl w:val="nil"/>
            </w:tcBorders>
            <w:noWrap w:val="0"/>
            <w:vAlign w:val="center"/>
          </w:tcPr>
          <w:p w14:paraId="3213BC9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检测方法</w:t>
            </w:r>
          </w:p>
        </w:tc>
        <w:tc>
          <w:tcPr>
            <w:tcW w:w="1308" w:type="pct"/>
            <w:tcBorders>
              <w:tl2br w:val="nil"/>
              <w:tr2bl w:val="nil"/>
            </w:tcBorders>
            <w:noWrap w:val="0"/>
            <w:vAlign w:val="center"/>
          </w:tcPr>
          <w:p w14:paraId="1FDB9CA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主要仪器设备及编号</w:t>
            </w:r>
          </w:p>
        </w:tc>
        <w:tc>
          <w:tcPr>
            <w:tcW w:w="775" w:type="pct"/>
            <w:tcBorders>
              <w:tl2br w:val="nil"/>
              <w:tr2bl w:val="nil"/>
            </w:tcBorders>
            <w:noWrap w:val="0"/>
            <w:vAlign w:val="center"/>
          </w:tcPr>
          <w:p w14:paraId="0C3448B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检出限</w:t>
            </w:r>
          </w:p>
        </w:tc>
      </w:tr>
      <w:tr w14:paraId="23CDA3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8" w:type="pct"/>
            <w:vMerge w:val="restart"/>
            <w:tcBorders>
              <w:tl2br w:val="nil"/>
              <w:tr2bl w:val="nil"/>
            </w:tcBorders>
            <w:noWrap w:val="0"/>
            <w:vAlign w:val="center"/>
          </w:tcPr>
          <w:p w14:paraId="229117E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color w:val="auto"/>
                <w:kern w:val="0"/>
                <w:sz w:val="21"/>
                <w:szCs w:val="21"/>
                <w:lang w:val="en-US" w:eastAsia="zh-CN"/>
              </w:rPr>
              <w:t>有组织废气</w:t>
            </w:r>
          </w:p>
        </w:tc>
        <w:tc>
          <w:tcPr>
            <w:tcW w:w="622" w:type="pct"/>
            <w:tcBorders>
              <w:tl2br w:val="nil"/>
              <w:tr2bl w:val="nil"/>
            </w:tcBorders>
            <w:shd w:val="clear" w:color="auto" w:fill="auto"/>
            <w:noWrap w:val="0"/>
            <w:vAlign w:val="center"/>
          </w:tcPr>
          <w:p w14:paraId="0F1B34A6">
            <w:pPr>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氨</w:t>
            </w:r>
          </w:p>
        </w:tc>
        <w:tc>
          <w:tcPr>
            <w:tcW w:w="1915" w:type="pct"/>
            <w:tcBorders>
              <w:tl2br w:val="nil"/>
              <w:tr2bl w:val="nil"/>
            </w:tcBorders>
            <w:shd w:val="clear" w:color="auto" w:fill="auto"/>
            <w:noWrap w:val="0"/>
            <w:vAlign w:val="center"/>
          </w:tcPr>
          <w:p w14:paraId="5D172400">
            <w:pPr>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环境空气和废气 氨的测定 纳氏试剂分光光度法 HJ 533-2009</w:t>
            </w:r>
          </w:p>
        </w:tc>
        <w:tc>
          <w:tcPr>
            <w:tcW w:w="1308" w:type="pct"/>
            <w:tcBorders>
              <w:tl2br w:val="nil"/>
              <w:tr2bl w:val="nil"/>
            </w:tcBorders>
            <w:shd w:val="clear" w:color="auto" w:fill="auto"/>
            <w:noWrap w:val="0"/>
            <w:vAlign w:val="center"/>
          </w:tcPr>
          <w:p w14:paraId="29F5F629">
            <w:pPr>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紫外可见分光光度计/752SD</w:t>
            </w:r>
          </w:p>
        </w:tc>
        <w:tc>
          <w:tcPr>
            <w:tcW w:w="775" w:type="pct"/>
            <w:tcBorders>
              <w:tl2br w:val="nil"/>
              <w:tr2bl w:val="nil"/>
            </w:tcBorders>
            <w:shd w:val="clear" w:color="auto" w:fill="auto"/>
            <w:noWrap w:val="0"/>
            <w:vAlign w:val="center"/>
          </w:tcPr>
          <w:p w14:paraId="0A6580F8">
            <w:pPr>
              <w:widowControl/>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0.09</w:t>
            </w:r>
            <w:r>
              <w:rPr>
                <w:rFonts w:hint="eastAsia" w:ascii="宋体" w:hAnsi="宋体" w:eastAsia="宋体" w:cs="宋体"/>
                <w:color w:val="000000"/>
                <w:kern w:val="0"/>
                <w:sz w:val="21"/>
                <w:szCs w:val="21"/>
                <w:lang w:val="en-US" w:eastAsia="zh-CN"/>
              </w:rPr>
              <w:t>mg/m</w:t>
            </w:r>
            <w:r>
              <w:rPr>
                <w:rFonts w:hint="eastAsia" w:ascii="宋体" w:hAnsi="宋体" w:eastAsia="宋体" w:cs="宋体"/>
                <w:color w:val="000000"/>
                <w:kern w:val="0"/>
                <w:sz w:val="21"/>
                <w:szCs w:val="21"/>
                <w:vertAlign w:val="superscript"/>
                <w:lang w:val="en-US" w:eastAsia="zh-CN"/>
              </w:rPr>
              <w:t>3</w:t>
            </w:r>
          </w:p>
        </w:tc>
      </w:tr>
      <w:tr w14:paraId="0E1F52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8" w:type="pct"/>
            <w:vMerge w:val="continue"/>
            <w:tcBorders>
              <w:tl2br w:val="nil"/>
              <w:tr2bl w:val="nil"/>
            </w:tcBorders>
            <w:noWrap w:val="0"/>
            <w:vAlign w:val="center"/>
          </w:tcPr>
          <w:p w14:paraId="089CD33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kern w:val="2"/>
                <w:sz w:val="21"/>
                <w:szCs w:val="21"/>
                <w:highlight w:val="none"/>
                <w:lang w:val="en-US" w:eastAsia="zh-CN" w:bidi="ar-SA"/>
              </w:rPr>
            </w:pPr>
          </w:p>
        </w:tc>
        <w:tc>
          <w:tcPr>
            <w:tcW w:w="622" w:type="pct"/>
            <w:tcBorders>
              <w:tl2br w:val="nil"/>
              <w:tr2bl w:val="nil"/>
            </w:tcBorders>
            <w:shd w:val="clear" w:color="auto" w:fill="auto"/>
            <w:noWrap w:val="0"/>
            <w:vAlign w:val="center"/>
          </w:tcPr>
          <w:p w14:paraId="695CC1BC">
            <w:pPr>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硫化氢</w:t>
            </w:r>
          </w:p>
        </w:tc>
        <w:tc>
          <w:tcPr>
            <w:tcW w:w="1915" w:type="pct"/>
            <w:tcBorders>
              <w:tl2br w:val="nil"/>
              <w:tr2bl w:val="nil"/>
            </w:tcBorders>
            <w:shd w:val="clear" w:color="auto" w:fill="auto"/>
            <w:noWrap w:val="0"/>
            <w:vAlign w:val="center"/>
          </w:tcPr>
          <w:p w14:paraId="194FFB9A">
            <w:pPr>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污染源废气 硫化氢 碘量法《空气和废气监测分析方法》（第四版）国家环境保护总局（2003年）</w:t>
            </w:r>
          </w:p>
        </w:tc>
        <w:tc>
          <w:tcPr>
            <w:tcW w:w="1308" w:type="pct"/>
            <w:tcBorders>
              <w:tl2br w:val="nil"/>
              <w:tr2bl w:val="nil"/>
            </w:tcBorders>
            <w:shd w:val="clear" w:color="auto" w:fill="auto"/>
            <w:noWrap w:val="0"/>
            <w:vAlign w:val="center"/>
          </w:tcPr>
          <w:p w14:paraId="5266AF87">
            <w:pPr>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滴定管</w:t>
            </w:r>
          </w:p>
        </w:tc>
        <w:tc>
          <w:tcPr>
            <w:tcW w:w="775" w:type="pct"/>
            <w:tcBorders>
              <w:tl2br w:val="nil"/>
              <w:tr2bl w:val="nil"/>
            </w:tcBorders>
            <w:shd w:val="clear" w:color="auto" w:fill="auto"/>
            <w:noWrap w:val="0"/>
            <w:vAlign w:val="center"/>
          </w:tcPr>
          <w:p w14:paraId="6FE5835B">
            <w:pPr>
              <w:widowControl/>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3</w:t>
            </w:r>
            <w:r>
              <w:rPr>
                <w:rFonts w:hint="eastAsia" w:ascii="宋体" w:hAnsi="宋体" w:eastAsia="宋体" w:cs="宋体"/>
                <w:color w:val="000000"/>
                <w:kern w:val="0"/>
                <w:sz w:val="21"/>
                <w:szCs w:val="21"/>
                <w:lang w:val="en-US" w:eastAsia="zh-CN"/>
              </w:rPr>
              <w:t>mg/m</w:t>
            </w:r>
            <w:r>
              <w:rPr>
                <w:rFonts w:hint="eastAsia" w:ascii="宋体" w:hAnsi="宋体" w:eastAsia="宋体" w:cs="宋体"/>
                <w:color w:val="000000"/>
                <w:kern w:val="0"/>
                <w:sz w:val="21"/>
                <w:szCs w:val="21"/>
                <w:vertAlign w:val="superscript"/>
                <w:lang w:val="en-US" w:eastAsia="zh-CN"/>
              </w:rPr>
              <w:t>3</w:t>
            </w:r>
          </w:p>
        </w:tc>
      </w:tr>
      <w:tr w14:paraId="7BB1C5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8" w:type="pct"/>
            <w:vMerge w:val="continue"/>
            <w:tcBorders>
              <w:tl2br w:val="nil"/>
              <w:tr2bl w:val="nil"/>
            </w:tcBorders>
            <w:noWrap w:val="0"/>
            <w:vAlign w:val="center"/>
          </w:tcPr>
          <w:p w14:paraId="049F6F9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kern w:val="2"/>
                <w:sz w:val="21"/>
                <w:szCs w:val="21"/>
                <w:highlight w:val="none"/>
                <w:lang w:val="en-US" w:eastAsia="zh-CN" w:bidi="ar-SA"/>
              </w:rPr>
            </w:pPr>
          </w:p>
        </w:tc>
        <w:tc>
          <w:tcPr>
            <w:tcW w:w="622" w:type="pct"/>
            <w:tcBorders>
              <w:tl2br w:val="nil"/>
              <w:tr2bl w:val="nil"/>
            </w:tcBorders>
            <w:shd w:val="clear" w:color="auto" w:fill="auto"/>
            <w:noWrap w:val="0"/>
            <w:vAlign w:val="center"/>
          </w:tcPr>
          <w:p w14:paraId="35D8DFAB">
            <w:pPr>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臭气</w:t>
            </w:r>
          </w:p>
        </w:tc>
        <w:tc>
          <w:tcPr>
            <w:tcW w:w="1915" w:type="pct"/>
            <w:tcBorders>
              <w:tl2br w:val="nil"/>
              <w:tr2bl w:val="nil"/>
            </w:tcBorders>
            <w:shd w:val="clear" w:color="auto" w:fill="auto"/>
            <w:noWrap w:val="0"/>
            <w:vAlign w:val="center"/>
          </w:tcPr>
          <w:p w14:paraId="7E5F8A41">
            <w:pPr>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环境空气和废气 臭气的测定 三点比较式臭袋法 HJ 1262-2022</w:t>
            </w:r>
          </w:p>
        </w:tc>
        <w:tc>
          <w:tcPr>
            <w:tcW w:w="1308" w:type="pct"/>
            <w:tcBorders>
              <w:tl2br w:val="nil"/>
              <w:tr2bl w:val="nil"/>
            </w:tcBorders>
            <w:shd w:val="clear" w:color="auto" w:fill="auto"/>
            <w:noWrap w:val="0"/>
            <w:vAlign w:val="center"/>
          </w:tcPr>
          <w:p w14:paraId="088EDDB4">
            <w:pPr>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w:t>
            </w:r>
          </w:p>
        </w:tc>
        <w:tc>
          <w:tcPr>
            <w:tcW w:w="775" w:type="pct"/>
            <w:tcBorders>
              <w:tl2br w:val="nil"/>
              <w:tr2bl w:val="nil"/>
            </w:tcBorders>
            <w:shd w:val="clear" w:color="auto" w:fill="auto"/>
            <w:noWrap w:val="0"/>
            <w:vAlign w:val="center"/>
          </w:tcPr>
          <w:p w14:paraId="586DDEE4">
            <w:pPr>
              <w:widowControl/>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val="en-US" w:eastAsia="zh-CN"/>
              </w:rPr>
              <w:t>10（无量纲）</w:t>
            </w:r>
          </w:p>
        </w:tc>
      </w:tr>
      <w:tr w14:paraId="783D7B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8" w:type="pct"/>
            <w:vMerge w:val="restart"/>
            <w:tcBorders>
              <w:tl2br w:val="nil"/>
              <w:tr2bl w:val="nil"/>
            </w:tcBorders>
            <w:noWrap w:val="0"/>
            <w:vAlign w:val="center"/>
          </w:tcPr>
          <w:p w14:paraId="4AECD81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b w:val="0"/>
                <w:bCs w:val="0"/>
                <w:color w:val="auto"/>
                <w:kern w:val="0"/>
                <w:sz w:val="21"/>
                <w:szCs w:val="21"/>
                <w:lang w:val="en-US" w:eastAsia="zh-CN"/>
              </w:rPr>
              <w:t>无组织废气检测</w:t>
            </w:r>
          </w:p>
        </w:tc>
        <w:tc>
          <w:tcPr>
            <w:tcW w:w="622" w:type="pct"/>
            <w:tcBorders>
              <w:tl2br w:val="nil"/>
              <w:tr2bl w:val="nil"/>
            </w:tcBorders>
            <w:shd w:val="clear" w:color="auto" w:fill="auto"/>
            <w:noWrap w:val="0"/>
            <w:vAlign w:val="center"/>
          </w:tcPr>
          <w:p w14:paraId="52B49C40">
            <w:pPr>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氨</w:t>
            </w:r>
          </w:p>
        </w:tc>
        <w:tc>
          <w:tcPr>
            <w:tcW w:w="1915" w:type="pct"/>
            <w:tcBorders>
              <w:tl2br w:val="nil"/>
              <w:tr2bl w:val="nil"/>
            </w:tcBorders>
            <w:shd w:val="clear" w:color="auto" w:fill="auto"/>
            <w:noWrap w:val="0"/>
            <w:vAlign w:val="center"/>
          </w:tcPr>
          <w:p w14:paraId="2121E977">
            <w:pPr>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环境空气和废气 氨的测定 纳氏试剂分光光度法 HJ 533-2009</w:t>
            </w:r>
          </w:p>
        </w:tc>
        <w:tc>
          <w:tcPr>
            <w:tcW w:w="1308" w:type="pct"/>
            <w:tcBorders>
              <w:tl2br w:val="nil"/>
              <w:tr2bl w:val="nil"/>
            </w:tcBorders>
            <w:shd w:val="clear" w:color="auto" w:fill="auto"/>
            <w:noWrap w:val="0"/>
            <w:vAlign w:val="center"/>
          </w:tcPr>
          <w:p w14:paraId="212870F7">
            <w:pPr>
              <w:keepNext w:val="0"/>
              <w:keepLines w:val="0"/>
              <w:widowControl/>
              <w:suppressLineNumbers w:val="0"/>
              <w:jc w:val="center"/>
              <w:textAlignment w:val="center"/>
              <w:rPr>
                <w:rFonts w:hint="eastAsia" w:ascii="宋体" w:hAnsi="宋体" w:eastAsia="宋体" w:cs="宋体"/>
                <w:i w:val="0"/>
                <w:color w:val="0000FF"/>
                <w:kern w:val="0"/>
                <w:sz w:val="21"/>
                <w:szCs w:val="21"/>
                <w:u w:val="none"/>
                <w:lang w:val="en-US" w:eastAsia="zh-CN" w:bidi="ar"/>
              </w:rPr>
            </w:pPr>
            <w:r>
              <w:rPr>
                <w:rFonts w:hint="eastAsia" w:ascii="宋体" w:hAnsi="宋体" w:eastAsia="宋体" w:cs="宋体"/>
                <w:color w:val="000000"/>
                <w:kern w:val="0"/>
                <w:sz w:val="21"/>
                <w:szCs w:val="21"/>
                <w:lang w:val="en-US" w:eastAsia="zh-CN"/>
              </w:rPr>
              <w:t>紫外可见分光光度计/752SD</w:t>
            </w:r>
          </w:p>
        </w:tc>
        <w:tc>
          <w:tcPr>
            <w:tcW w:w="775" w:type="pct"/>
            <w:tcBorders>
              <w:tl2br w:val="nil"/>
              <w:tr2bl w:val="nil"/>
            </w:tcBorders>
            <w:shd w:val="clear" w:color="auto" w:fill="auto"/>
            <w:noWrap w:val="0"/>
            <w:vAlign w:val="center"/>
          </w:tcPr>
          <w:p w14:paraId="2E90AD4B">
            <w:pPr>
              <w:jc w:val="center"/>
              <w:outlineLvl w:val="0"/>
              <w:rPr>
                <w:rFonts w:hint="eastAsia" w:ascii="宋体" w:hAnsi="宋体" w:eastAsia="宋体" w:cs="宋体"/>
                <w:b w:val="0"/>
                <w:bCs w:val="0"/>
                <w:color w:val="000000"/>
                <w:kern w:val="2"/>
                <w:sz w:val="21"/>
                <w:szCs w:val="21"/>
                <w:lang w:val="en-US" w:eastAsia="zh-CN" w:bidi="ar-SA"/>
              </w:rPr>
            </w:pPr>
            <w:bookmarkStart w:id="60" w:name="_Toc22314"/>
            <w:r>
              <w:rPr>
                <w:rFonts w:hint="eastAsia" w:ascii="宋体" w:hAnsi="宋体" w:eastAsia="宋体" w:cs="宋体"/>
                <w:b w:val="0"/>
                <w:bCs w:val="0"/>
                <w:color w:val="000000"/>
                <w:sz w:val="21"/>
                <w:szCs w:val="21"/>
                <w:lang w:val="en-US" w:eastAsia="zh-CN"/>
              </w:rPr>
              <w:t>0.01</w:t>
            </w:r>
            <w:r>
              <w:rPr>
                <w:rFonts w:hint="eastAsia" w:ascii="宋体" w:hAnsi="宋体" w:eastAsia="宋体" w:cs="宋体"/>
                <w:color w:val="000000"/>
                <w:kern w:val="0"/>
                <w:sz w:val="21"/>
                <w:szCs w:val="21"/>
                <w:lang w:val="en-US" w:eastAsia="zh-CN"/>
              </w:rPr>
              <w:t>mg/m</w:t>
            </w:r>
            <w:r>
              <w:rPr>
                <w:rFonts w:hint="eastAsia" w:ascii="宋体" w:hAnsi="宋体" w:eastAsia="宋体" w:cs="宋体"/>
                <w:color w:val="000000"/>
                <w:kern w:val="0"/>
                <w:sz w:val="21"/>
                <w:szCs w:val="21"/>
                <w:vertAlign w:val="superscript"/>
                <w:lang w:val="en-US" w:eastAsia="zh-CN"/>
              </w:rPr>
              <w:t>3</w:t>
            </w:r>
            <w:bookmarkEnd w:id="60"/>
          </w:p>
        </w:tc>
      </w:tr>
      <w:tr w14:paraId="201EFF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8" w:type="pct"/>
            <w:vMerge w:val="continue"/>
            <w:tcBorders>
              <w:tl2br w:val="nil"/>
              <w:tr2bl w:val="nil"/>
            </w:tcBorders>
            <w:noWrap w:val="0"/>
            <w:vAlign w:val="center"/>
          </w:tcPr>
          <w:p w14:paraId="54BF322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kern w:val="2"/>
                <w:sz w:val="21"/>
                <w:szCs w:val="21"/>
                <w:highlight w:val="none"/>
                <w:lang w:val="en-US" w:eastAsia="zh-CN" w:bidi="ar-SA"/>
              </w:rPr>
            </w:pPr>
          </w:p>
        </w:tc>
        <w:tc>
          <w:tcPr>
            <w:tcW w:w="622" w:type="pct"/>
            <w:tcBorders>
              <w:tl2br w:val="nil"/>
              <w:tr2bl w:val="nil"/>
            </w:tcBorders>
            <w:shd w:val="clear" w:color="auto" w:fill="auto"/>
            <w:noWrap w:val="0"/>
            <w:vAlign w:val="center"/>
          </w:tcPr>
          <w:p w14:paraId="316258BE">
            <w:pPr>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硫化氢</w:t>
            </w:r>
          </w:p>
        </w:tc>
        <w:tc>
          <w:tcPr>
            <w:tcW w:w="1915" w:type="pct"/>
            <w:tcBorders>
              <w:tl2br w:val="nil"/>
              <w:tr2bl w:val="nil"/>
            </w:tcBorders>
            <w:shd w:val="clear" w:color="auto" w:fill="auto"/>
            <w:noWrap w:val="0"/>
            <w:vAlign w:val="center"/>
          </w:tcPr>
          <w:p w14:paraId="4B8CCDBF">
            <w:pPr>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环境空气 硫化氢 亚甲基蓝分光光度法《空气和废气监测分析方法》（第四版）国家环境保护总局（2003年）</w:t>
            </w:r>
          </w:p>
        </w:tc>
        <w:tc>
          <w:tcPr>
            <w:tcW w:w="1308" w:type="pct"/>
            <w:tcBorders>
              <w:tl2br w:val="nil"/>
              <w:tr2bl w:val="nil"/>
            </w:tcBorders>
            <w:shd w:val="clear" w:color="auto" w:fill="auto"/>
            <w:noWrap w:val="0"/>
            <w:vAlign w:val="center"/>
          </w:tcPr>
          <w:p w14:paraId="1D3F3F15">
            <w:pPr>
              <w:keepNext w:val="0"/>
              <w:keepLines w:val="0"/>
              <w:widowControl/>
              <w:suppressLineNumbers w:val="0"/>
              <w:jc w:val="center"/>
              <w:textAlignment w:val="center"/>
              <w:rPr>
                <w:rFonts w:hint="eastAsia" w:ascii="宋体" w:hAnsi="宋体" w:eastAsia="宋体" w:cs="宋体"/>
                <w:i w:val="0"/>
                <w:color w:val="0000FF"/>
                <w:kern w:val="0"/>
                <w:sz w:val="21"/>
                <w:szCs w:val="21"/>
                <w:u w:val="none"/>
                <w:lang w:val="en-US" w:eastAsia="zh-CN" w:bidi="ar"/>
              </w:rPr>
            </w:pPr>
            <w:r>
              <w:rPr>
                <w:rFonts w:hint="eastAsia" w:ascii="宋体" w:hAnsi="宋体" w:eastAsia="宋体" w:cs="宋体"/>
                <w:color w:val="000000"/>
                <w:kern w:val="0"/>
                <w:sz w:val="21"/>
                <w:szCs w:val="21"/>
                <w:lang w:val="en-US" w:eastAsia="zh-CN"/>
              </w:rPr>
              <w:t>紫外可见分光光度计/752SD</w:t>
            </w:r>
          </w:p>
        </w:tc>
        <w:tc>
          <w:tcPr>
            <w:tcW w:w="775" w:type="pct"/>
            <w:tcBorders>
              <w:tl2br w:val="nil"/>
              <w:tr2bl w:val="nil"/>
            </w:tcBorders>
            <w:shd w:val="clear" w:color="auto" w:fill="auto"/>
            <w:noWrap w:val="0"/>
            <w:vAlign w:val="center"/>
          </w:tcPr>
          <w:p w14:paraId="2BC4D9D2">
            <w:pPr>
              <w:jc w:val="center"/>
              <w:outlineLvl w:val="0"/>
              <w:rPr>
                <w:rFonts w:hint="eastAsia" w:ascii="宋体" w:hAnsi="宋体" w:eastAsia="宋体" w:cs="宋体"/>
                <w:b w:val="0"/>
                <w:bCs w:val="0"/>
                <w:color w:val="000000"/>
                <w:kern w:val="2"/>
                <w:sz w:val="21"/>
                <w:szCs w:val="21"/>
                <w:lang w:val="en-US" w:eastAsia="zh-CN" w:bidi="ar-SA"/>
              </w:rPr>
            </w:pPr>
            <w:bookmarkStart w:id="61" w:name="_Toc13917"/>
            <w:r>
              <w:rPr>
                <w:rFonts w:hint="eastAsia" w:ascii="宋体" w:hAnsi="宋体" w:eastAsia="宋体" w:cs="宋体"/>
                <w:b w:val="0"/>
                <w:bCs w:val="0"/>
                <w:color w:val="000000"/>
                <w:sz w:val="21"/>
                <w:szCs w:val="21"/>
                <w:lang w:val="en-US" w:eastAsia="zh-CN"/>
              </w:rPr>
              <w:t>0.001</w:t>
            </w:r>
            <w:r>
              <w:rPr>
                <w:rFonts w:hint="eastAsia" w:ascii="宋体" w:hAnsi="宋体" w:eastAsia="宋体" w:cs="宋体"/>
                <w:color w:val="000000"/>
                <w:kern w:val="0"/>
                <w:sz w:val="21"/>
                <w:szCs w:val="21"/>
                <w:lang w:val="en-US" w:eastAsia="zh-CN"/>
              </w:rPr>
              <w:t>mg/m</w:t>
            </w:r>
            <w:r>
              <w:rPr>
                <w:rFonts w:hint="eastAsia" w:ascii="宋体" w:hAnsi="宋体" w:eastAsia="宋体" w:cs="宋体"/>
                <w:color w:val="000000"/>
                <w:kern w:val="0"/>
                <w:sz w:val="21"/>
                <w:szCs w:val="21"/>
                <w:vertAlign w:val="superscript"/>
                <w:lang w:val="en-US" w:eastAsia="zh-CN"/>
              </w:rPr>
              <w:t>3</w:t>
            </w:r>
            <w:bookmarkEnd w:id="61"/>
          </w:p>
        </w:tc>
      </w:tr>
      <w:tr w14:paraId="3C389A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8" w:type="pct"/>
            <w:vMerge w:val="continue"/>
            <w:tcBorders>
              <w:tl2br w:val="nil"/>
              <w:tr2bl w:val="nil"/>
            </w:tcBorders>
            <w:noWrap w:val="0"/>
            <w:vAlign w:val="center"/>
          </w:tcPr>
          <w:p w14:paraId="7047CA9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kern w:val="2"/>
                <w:sz w:val="21"/>
                <w:szCs w:val="21"/>
                <w:highlight w:val="none"/>
                <w:lang w:val="en-US" w:eastAsia="zh-CN" w:bidi="ar-SA"/>
              </w:rPr>
            </w:pPr>
          </w:p>
        </w:tc>
        <w:tc>
          <w:tcPr>
            <w:tcW w:w="622" w:type="pct"/>
            <w:tcBorders>
              <w:tl2br w:val="nil"/>
              <w:tr2bl w:val="nil"/>
            </w:tcBorders>
            <w:shd w:val="clear" w:color="auto" w:fill="auto"/>
            <w:noWrap w:val="0"/>
            <w:vAlign w:val="center"/>
          </w:tcPr>
          <w:p w14:paraId="2C090CDC">
            <w:pPr>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臭气</w:t>
            </w:r>
          </w:p>
        </w:tc>
        <w:tc>
          <w:tcPr>
            <w:tcW w:w="1915" w:type="pct"/>
            <w:tcBorders>
              <w:tl2br w:val="nil"/>
              <w:tr2bl w:val="nil"/>
            </w:tcBorders>
            <w:shd w:val="clear" w:color="auto" w:fill="auto"/>
            <w:noWrap w:val="0"/>
            <w:vAlign w:val="center"/>
          </w:tcPr>
          <w:p w14:paraId="2F9D2E7C">
            <w:pPr>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环境空气和废气 臭气的测定 三点比较式臭袋法 HJ 1262-2022</w:t>
            </w:r>
          </w:p>
        </w:tc>
        <w:tc>
          <w:tcPr>
            <w:tcW w:w="1308" w:type="pct"/>
            <w:tcBorders>
              <w:tl2br w:val="nil"/>
              <w:tr2bl w:val="nil"/>
            </w:tcBorders>
            <w:shd w:val="clear" w:color="auto" w:fill="auto"/>
            <w:noWrap w:val="0"/>
            <w:vAlign w:val="center"/>
          </w:tcPr>
          <w:p w14:paraId="12BE9776">
            <w:pPr>
              <w:jc w:val="center"/>
              <w:rPr>
                <w:rFonts w:hint="eastAsia" w:ascii="宋体" w:hAnsi="宋体" w:eastAsia="宋体" w:cs="宋体"/>
                <w:i w:val="0"/>
                <w:color w:val="0000FF"/>
                <w:kern w:val="0"/>
                <w:sz w:val="21"/>
                <w:szCs w:val="21"/>
                <w:u w:val="none"/>
                <w:lang w:val="en-US" w:eastAsia="zh-CN" w:bidi="ar"/>
              </w:rPr>
            </w:pPr>
            <w:r>
              <w:rPr>
                <w:rFonts w:hint="eastAsia" w:ascii="宋体" w:hAnsi="宋体" w:eastAsia="宋体" w:cs="宋体"/>
                <w:color w:val="000000"/>
                <w:kern w:val="0"/>
                <w:sz w:val="21"/>
                <w:szCs w:val="21"/>
                <w:lang w:val="en-US" w:eastAsia="zh-CN"/>
              </w:rPr>
              <w:t>/</w:t>
            </w:r>
          </w:p>
        </w:tc>
        <w:tc>
          <w:tcPr>
            <w:tcW w:w="775" w:type="pct"/>
            <w:tcBorders>
              <w:tl2br w:val="nil"/>
              <w:tr2bl w:val="nil"/>
            </w:tcBorders>
            <w:shd w:val="clear" w:color="auto" w:fill="auto"/>
            <w:noWrap w:val="0"/>
            <w:vAlign w:val="center"/>
          </w:tcPr>
          <w:p w14:paraId="3D3F2866">
            <w:pPr>
              <w:widowControl/>
              <w:jc w:val="center"/>
              <w:rPr>
                <w:rFonts w:hint="eastAsia" w:ascii="宋体" w:hAnsi="宋体" w:eastAsia="宋体" w:cs="宋体"/>
                <w:b w:val="0"/>
                <w:bCs w:val="0"/>
                <w:color w:val="0070C0"/>
                <w:kern w:val="2"/>
                <w:sz w:val="21"/>
                <w:szCs w:val="21"/>
                <w:lang w:val="en-US" w:eastAsia="zh-CN" w:bidi="ar-SA"/>
              </w:rPr>
            </w:pPr>
            <w:r>
              <w:rPr>
                <w:rFonts w:hint="eastAsia" w:ascii="宋体" w:hAnsi="宋体" w:eastAsia="宋体" w:cs="宋体"/>
                <w:color w:val="000000"/>
                <w:kern w:val="0"/>
                <w:sz w:val="21"/>
                <w:szCs w:val="21"/>
                <w:lang w:val="en-US" w:eastAsia="zh-CN"/>
              </w:rPr>
              <w:t>10（无量纲）</w:t>
            </w:r>
          </w:p>
        </w:tc>
      </w:tr>
      <w:tr w14:paraId="4FC945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8" w:type="pct"/>
            <w:vMerge w:val="restart"/>
            <w:tcBorders>
              <w:tl2br w:val="nil"/>
              <w:tr2bl w:val="nil"/>
            </w:tcBorders>
            <w:noWrap w:val="0"/>
            <w:vAlign w:val="center"/>
          </w:tcPr>
          <w:p w14:paraId="18F5AA6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b w:val="0"/>
                <w:bCs w:val="0"/>
                <w:color w:val="auto"/>
                <w:kern w:val="0"/>
                <w:sz w:val="21"/>
                <w:szCs w:val="21"/>
                <w:lang w:val="en-US" w:eastAsia="zh-CN"/>
              </w:rPr>
              <w:t>废水检测</w:t>
            </w:r>
          </w:p>
        </w:tc>
        <w:tc>
          <w:tcPr>
            <w:tcW w:w="622" w:type="pct"/>
            <w:tcBorders>
              <w:tl2br w:val="nil"/>
              <w:tr2bl w:val="nil"/>
            </w:tcBorders>
            <w:shd w:val="clear" w:color="auto" w:fill="auto"/>
            <w:noWrap w:val="0"/>
            <w:vAlign w:val="center"/>
          </w:tcPr>
          <w:p w14:paraId="68E4C2D5">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pH值</w:t>
            </w:r>
          </w:p>
        </w:tc>
        <w:tc>
          <w:tcPr>
            <w:tcW w:w="1915" w:type="pct"/>
            <w:tcBorders>
              <w:tl2br w:val="nil"/>
              <w:tr2bl w:val="nil"/>
            </w:tcBorders>
            <w:shd w:val="clear" w:color="auto" w:fill="auto"/>
            <w:noWrap w:val="0"/>
            <w:vAlign w:val="center"/>
          </w:tcPr>
          <w:p w14:paraId="2B08D4C1">
            <w:pPr>
              <w:jc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color w:val="auto"/>
                <w:kern w:val="0"/>
                <w:sz w:val="21"/>
                <w:szCs w:val="21"/>
                <w:lang w:val="en-US" w:eastAsia="zh-CN"/>
              </w:rPr>
              <w:t>水质 pH 值的测定 电极法 HJ 1147-2020</w:t>
            </w:r>
          </w:p>
        </w:tc>
        <w:tc>
          <w:tcPr>
            <w:tcW w:w="1308" w:type="pct"/>
            <w:tcBorders>
              <w:tl2br w:val="nil"/>
              <w:tr2bl w:val="nil"/>
            </w:tcBorders>
            <w:shd w:val="clear" w:color="auto" w:fill="auto"/>
            <w:noWrap w:val="0"/>
            <w:vAlign w:val="center"/>
          </w:tcPr>
          <w:p w14:paraId="2D666371">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便携式pH计</w:t>
            </w:r>
          </w:p>
          <w:p w14:paraId="6D85DB81">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color w:val="auto"/>
                <w:kern w:val="0"/>
                <w:sz w:val="21"/>
                <w:szCs w:val="21"/>
                <w:lang w:val="en-US" w:eastAsia="zh-CN"/>
              </w:rPr>
              <w:t>/PHBJ-260型</w:t>
            </w:r>
          </w:p>
        </w:tc>
        <w:tc>
          <w:tcPr>
            <w:tcW w:w="775" w:type="pct"/>
            <w:tcBorders>
              <w:tl2br w:val="nil"/>
              <w:tr2bl w:val="nil"/>
            </w:tcBorders>
            <w:shd w:val="clear" w:color="auto" w:fill="auto"/>
            <w:noWrap w:val="0"/>
            <w:vAlign w:val="center"/>
          </w:tcPr>
          <w:p w14:paraId="5ED46FC0">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w:t>
            </w:r>
          </w:p>
        </w:tc>
      </w:tr>
      <w:tr w14:paraId="698C00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8" w:type="pct"/>
            <w:vMerge w:val="continue"/>
            <w:tcBorders>
              <w:tl2br w:val="nil"/>
              <w:tr2bl w:val="nil"/>
            </w:tcBorders>
            <w:noWrap w:val="0"/>
            <w:vAlign w:val="center"/>
          </w:tcPr>
          <w:p w14:paraId="3D52D0D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kern w:val="2"/>
                <w:sz w:val="21"/>
                <w:szCs w:val="21"/>
                <w:highlight w:val="none"/>
                <w:lang w:val="en-US" w:eastAsia="zh-CN" w:bidi="ar-SA"/>
              </w:rPr>
            </w:pPr>
          </w:p>
        </w:tc>
        <w:tc>
          <w:tcPr>
            <w:tcW w:w="622" w:type="pct"/>
            <w:tcBorders>
              <w:tl2br w:val="nil"/>
              <w:tr2bl w:val="nil"/>
            </w:tcBorders>
            <w:shd w:val="clear" w:color="auto" w:fill="auto"/>
            <w:noWrap w:val="0"/>
            <w:vAlign w:val="center"/>
          </w:tcPr>
          <w:p w14:paraId="665FE378">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悬浮物</w:t>
            </w:r>
          </w:p>
        </w:tc>
        <w:tc>
          <w:tcPr>
            <w:tcW w:w="1915" w:type="pct"/>
            <w:tcBorders>
              <w:tl2br w:val="nil"/>
              <w:tr2bl w:val="nil"/>
            </w:tcBorders>
            <w:shd w:val="clear" w:color="auto" w:fill="auto"/>
            <w:noWrap w:val="0"/>
            <w:vAlign w:val="center"/>
          </w:tcPr>
          <w:p w14:paraId="416EDE6D">
            <w:pPr>
              <w:jc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color w:val="auto"/>
                <w:kern w:val="0"/>
                <w:sz w:val="21"/>
                <w:szCs w:val="21"/>
                <w:lang w:val="en-US" w:eastAsia="zh-CN"/>
              </w:rPr>
              <w:t>水质 悬浮物的测定 重量法 GB/T 11901-1989</w:t>
            </w:r>
          </w:p>
        </w:tc>
        <w:tc>
          <w:tcPr>
            <w:tcW w:w="1308" w:type="pct"/>
            <w:tcBorders>
              <w:tl2br w:val="nil"/>
              <w:tr2bl w:val="nil"/>
            </w:tcBorders>
            <w:shd w:val="clear" w:color="auto" w:fill="auto"/>
            <w:noWrap w:val="0"/>
            <w:vAlign w:val="center"/>
          </w:tcPr>
          <w:p w14:paraId="42A3AE42">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电热鼓风干燥箱/GZX-9141MBE、</w:t>
            </w:r>
          </w:p>
          <w:p w14:paraId="0CEB2098">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color w:val="auto"/>
                <w:kern w:val="0"/>
                <w:sz w:val="21"/>
                <w:szCs w:val="21"/>
                <w:lang w:val="en-US" w:eastAsia="zh-CN"/>
              </w:rPr>
              <w:t>电子天平/FA2104B</w:t>
            </w:r>
          </w:p>
        </w:tc>
        <w:tc>
          <w:tcPr>
            <w:tcW w:w="775" w:type="pct"/>
            <w:tcBorders>
              <w:tl2br w:val="nil"/>
              <w:tr2bl w:val="nil"/>
            </w:tcBorders>
            <w:shd w:val="clear" w:color="auto" w:fill="auto"/>
            <w:noWrap w:val="0"/>
            <w:vAlign w:val="center"/>
          </w:tcPr>
          <w:p w14:paraId="3C7AFD89">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4</w:t>
            </w:r>
            <w:r>
              <w:rPr>
                <w:rFonts w:hint="eastAsia" w:ascii="宋体" w:hAnsi="宋体" w:eastAsia="宋体" w:cs="宋体"/>
                <w:color w:val="000000"/>
                <w:kern w:val="0"/>
                <w:sz w:val="21"/>
                <w:szCs w:val="21"/>
                <w:lang w:val="en-US" w:eastAsia="zh-CN"/>
              </w:rPr>
              <w:t>mg/L</w:t>
            </w:r>
          </w:p>
        </w:tc>
      </w:tr>
      <w:tr w14:paraId="308D99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8" w:type="pct"/>
            <w:vMerge w:val="continue"/>
            <w:vAlign w:val="center"/>
          </w:tcPr>
          <w:p w14:paraId="036DDD6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kern w:val="2"/>
                <w:sz w:val="21"/>
                <w:szCs w:val="21"/>
                <w:highlight w:val="none"/>
                <w:lang w:val="en-US" w:eastAsia="zh-CN" w:bidi="ar-SA"/>
              </w:rPr>
            </w:pPr>
          </w:p>
        </w:tc>
        <w:tc>
          <w:tcPr>
            <w:tcW w:w="0" w:type="auto"/>
            <w:shd w:val="clear" w:color="auto" w:fill="auto"/>
            <w:vAlign w:val="center"/>
          </w:tcPr>
          <w:p w14:paraId="3243EAE3">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氨氮</w:t>
            </w:r>
          </w:p>
        </w:tc>
        <w:tc>
          <w:tcPr>
            <w:tcW w:w="1915" w:type="pct"/>
            <w:shd w:val="clear" w:color="auto" w:fill="auto"/>
            <w:vAlign w:val="center"/>
          </w:tcPr>
          <w:p w14:paraId="6A990A9B">
            <w:pPr>
              <w:jc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color w:val="auto"/>
                <w:kern w:val="0"/>
                <w:sz w:val="21"/>
                <w:szCs w:val="21"/>
                <w:lang w:val="en-US" w:eastAsia="zh-CN"/>
              </w:rPr>
              <w:t>水质 氨氮的测定 纳氏试剂分光光度法 HJ 535-2009</w:t>
            </w:r>
          </w:p>
        </w:tc>
        <w:tc>
          <w:tcPr>
            <w:tcW w:w="1308" w:type="pct"/>
            <w:shd w:val="clear" w:color="auto" w:fill="auto"/>
            <w:vAlign w:val="center"/>
          </w:tcPr>
          <w:p w14:paraId="7086EA6F">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color w:val="auto"/>
                <w:kern w:val="0"/>
                <w:sz w:val="21"/>
                <w:szCs w:val="21"/>
                <w:lang w:val="en-US" w:eastAsia="zh-CN"/>
              </w:rPr>
              <w:t>紫外可见分光光度计/752SD</w:t>
            </w:r>
          </w:p>
        </w:tc>
        <w:tc>
          <w:tcPr>
            <w:tcW w:w="0" w:type="auto"/>
            <w:shd w:val="clear" w:color="auto" w:fill="auto"/>
            <w:vAlign w:val="center"/>
          </w:tcPr>
          <w:p w14:paraId="5F7C1694">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0.025</w:t>
            </w:r>
            <w:r>
              <w:rPr>
                <w:rFonts w:hint="eastAsia" w:ascii="宋体" w:hAnsi="宋体" w:eastAsia="宋体" w:cs="宋体"/>
                <w:color w:val="000000"/>
                <w:kern w:val="0"/>
                <w:sz w:val="21"/>
                <w:szCs w:val="21"/>
                <w:lang w:val="en-US" w:eastAsia="zh-CN"/>
              </w:rPr>
              <w:t>mg/L</w:t>
            </w:r>
          </w:p>
        </w:tc>
      </w:tr>
      <w:tr w14:paraId="426B03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8" w:type="pct"/>
            <w:vMerge w:val="continue"/>
            <w:vAlign w:val="center"/>
          </w:tcPr>
          <w:p w14:paraId="040194C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kern w:val="2"/>
                <w:sz w:val="21"/>
                <w:szCs w:val="21"/>
                <w:highlight w:val="none"/>
                <w:lang w:val="en-US" w:eastAsia="zh-CN" w:bidi="ar-SA"/>
              </w:rPr>
            </w:pPr>
          </w:p>
        </w:tc>
        <w:tc>
          <w:tcPr>
            <w:tcW w:w="0" w:type="auto"/>
            <w:shd w:val="clear" w:color="auto" w:fill="auto"/>
            <w:vAlign w:val="center"/>
          </w:tcPr>
          <w:p w14:paraId="7EF9E778">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化学需氧量</w:t>
            </w:r>
          </w:p>
        </w:tc>
        <w:tc>
          <w:tcPr>
            <w:tcW w:w="1915" w:type="pct"/>
            <w:shd w:val="clear" w:color="auto" w:fill="auto"/>
            <w:vAlign w:val="center"/>
          </w:tcPr>
          <w:p w14:paraId="48B0AA9D">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水质 化学需氧量的测定重铬酸盐法 HJ 828-2017</w:t>
            </w:r>
          </w:p>
        </w:tc>
        <w:tc>
          <w:tcPr>
            <w:tcW w:w="1308" w:type="pct"/>
            <w:shd w:val="clear" w:color="auto" w:fill="auto"/>
            <w:vAlign w:val="center"/>
          </w:tcPr>
          <w:p w14:paraId="5A471E7F">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eastAsia="zh-CN"/>
              </w:rPr>
              <w:t>COD消解器/HCA-10</w:t>
            </w:r>
            <w:r>
              <w:rPr>
                <w:rFonts w:hint="eastAsia" w:ascii="宋体" w:hAnsi="宋体" w:eastAsia="宋体" w:cs="宋体"/>
                <w:color w:val="auto"/>
                <w:kern w:val="0"/>
                <w:sz w:val="21"/>
                <w:szCs w:val="21"/>
                <w:lang w:val="en-US" w:eastAsia="zh-CN"/>
              </w:rPr>
              <w:t>0</w:t>
            </w:r>
          </w:p>
        </w:tc>
        <w:tc>
          <w:tcPr>
            <w:tcW w:w="0" w:type="auto"/>
            <w:shd w:val="clear" w:color="auto" w:fill="auto"/>
            <w:vAlign w:val="center"/>
          </w:tcPr>
          <w:p w14:paraId="4CA35243">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4</w:t>
            </w:r>
            <w:r>
              <w:rPr>
                <w:rFonts w:hint="eastAsia" w:ascii="宋体" w:hAnsi="宋体" w:eastAsia="宋体" w:cs="宋体"/>
                <w:color w:val="000000"/>
                <w:kern w:val="0"/>
                <w:sz w:val="21"/>
                <w:szCs w:val="21"/>
                <w:lang w:val="en-US" w:eastAsia="zh-CN"/>
              </w:rPr>
              <w:t>mg/L</w:t>
            </w:r>
          </w:p>
        </w:tc>
      </w:tr>
      <w:tr w14:paraId="75AB7F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8" w:type="pct"/>
            <w:vMerge w:val="continue"/>
            <w:vAlign w:val="center"/>
          </w:tcPr>
          <w:p w14:paraId="20B8F70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kern w:val="2"/>
                <w:sz w:val="21"/>
                <w:szCs w:val="21"/>
                <w:highlight w:val="none"/>
                <w:lang w:val="en-US" w:eastAsia="zh-CN" w:bidi="ar-SA"/>
              </w:rPr>
            </w:pPr>
          </w:p>
        </w:tc>
        <w:tc>
          <w:tcPr>
            <w:tcW w:w="0" w:type="auto"/>
            <w:shd w:val="clear" w:color="auto" w:fill="auto"/>
            <w:vAlign w:val="center"/>
          </w:tcPr>
          <w:p w14:paraId="67161D69">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五日生化需氧量</w:t>
            </w:r>
          </w:p>
        </w:tc>
        <w:tc>
          <w:tcPr>
            <w:tcW w:w="1915" w:type="pct"/>
            <w:shd w:val="clear" w:color="auto" w:fill="auto"/>
            <w:vAlign w:val="center"/>
          </w:tcPr>
          <w:p w14:paraId="38704782">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水质 五日生化需氧量（BOD</w:t>
            </w:r>
            <w:r>
              <w:rPr>
                <w:rFonts w:hint="eastAsia" w:ascii="宋体" w:hAnsi="宋体" w:eastAsia="宋体" w:cs="宋体"/>
                <w:color w:val="auto"/>
                <w:kern w:val="0"/>
                <w:sz w:val="21"/>
                <w:szCs w:val="21"/>
                <w:vertAlign w:val="subscript"/>
                <w:lang w:val="en-US" w:eastAsia="zh-CN"/>
              </w:rPr>
              <w:t>5</w:t>
            </w:r>
            <w:r>
              <w:rPr>
                <w:rFonts w:hint="eastAsia" w:ascii="宋体" w:hAnsi="宋体" w:eastAsia="宋体" w:cs="宋体"/>
                <w:color w:val="auto"/>
                <w:kern w:val="0"/>
                <w:sz w:val="21"/>
                <w:szCs w:val="21"/>
                <w:lang w:val="en-US" w:eastAsia="zh-CN"/>
              </w:rPr>
              <w:t>）的测定稀释与接种法 HJ 505-2009</w:t>
            </w:r>
          </w:p>
        </w:tc>
        <w:tc>
          <w:tcPr>
            <w:tcW w:w="1308" w:type="pct"/>
            <w:shd w:val="clear" w:color="auto" w:fill="auto"/>
            <w:vAlign w:val="center"/>
          </w:tcPr>
          <w:p w14:paraId="67EFE2F2">
            <w:pPr>
              <w:jc w:val="center"/>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生化培养箱/SPX-250</w:t>
            </w:r>
            <w:r>
              <w:rPr>
                <w:rFonts w:hint="eastAsia" w:ascii="宋体" w:hAnsi="宋体" w:eastAsia="宋体" w:cs="宋体"/>
                <w:color w:val="auto"/>
                <w:kern w:val="0"/>
                <w:sz w:val="21"/>
                <w:szCs w:val="21"/>
                <w:lang w:eastAsia="zh-CN"/>
              </w:rPr>
              <w:t>、</w:t>
            </w:r>
          </w:p>
          <w:p w14:paraId="2DEB4581">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eastAsia="zh-CN"/>
              </w:rPr>
              <w:t>溶解氧测定仪/JPSJ-605</w:t>
            </w:r>
          </w:p>
        </w:tc>
        <w:tc>
          <w:tcPr>
            <w:tcW w:w="0" w:type="auto"/>
            <w:shd w:val="clear" w:color="auto" w:fill="auto"/>
            <w:vAlign w:val="center"/>
          </w:tcPr>
          <w:p w14:paraId="484E53B0">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0.5</w:t>
            </w:r>
            <w:r>
              <w:rPr>
                <w:rFonts w:hint="eastAsia" w:ascii="宋体" w:hAnsi="宋体" w:eastAsia="宋体" w:cs="宋体"/>
                <w:color w:val="000000"/>
                <w:kern w:val="0"/>
                <w:sz w:val="21"/>
                <w:szCs w:val="21"/>
                <w:lang w:val="en-US" w:eastAsia="zh-CN"/>
              </w:rPr>
              <w:t>mg/L</w:t>
            </w:r>
          </w:p>
        </w:tc>
      </w:tr>
      <w:tr w14:paraId="380E0D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8" w:type="pct"/>
            <w:vMerge w:val="continue"/>
            <w:vAlign w:val="center"/>
          </w:tcPr>
          <w:p w14:paraId="2749796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kern w:val="2"/>
                <w:sz w:val="21"/>
                <w:szCs w:val="21"/>
                <w:highlight w:val="none"/>
                <w:lang w:val="en-US" w:eastAsia="zh-CN" w:bidi="ar-SA"/>
              </w:rPr>
            </w:pPr>
          </w:p>
        </w:tc>
        <w:tc>
          <w:tcPr>
            <w:tcW w:w="0" w:type="auto"/>
            <w:shd w:val="clear" w:color="auto" w:fill="auto"/>
            <w:vAlign w:val="center"/>
          </w:tcPr>
          <w:p w14:paraId="3E156BCB">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总磷</w:t>
            </w:r>
          </w:p>
        </w:tc>
        <w:tc>
          <w:tcPr>
            <w:tcW w:w="1915" w:type="pct"/>
            <w:shd w:val="clear" w:color="auto" w:fill="auto"/>
            <w:vAlign w:val="center"/>
          </w:tcPr>
          <w:p w14:paraId="3AABCC31">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水质 总磷的测定 钼酸铵分光光度法 GB/T 11893-1989</w:t>
            </w:r>
          </w:p>
        </w:tc>
        <w:tc>
          <w:tcPr>
            <w:tcW w:w="1308" w:type="pct"/>
            <w:shd w:val="clear" w:color="auto" w:fill="auto"/>
            <w:vAlign w:val="center"/>
          </w:tcPr>
          <w:p w14:paraId="03FDD864">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紫外可见分光光度计/752SD、手提式压力蒸汽灭菌器/YXQ-LS-18SII</w:t>
            </w:r>
          </w:p>
        </w:tc>
        <w:tc>
          <w:tcPr>
            <w:tcW w:w="0" w:type="auto"/>
            <w:shd w:val="clear" w:color="auto" w:fill="auto"/>
            <w:vAlign w:val="center"/>
          </w:tcPr>
          <w:p w14:paraId="705F903D">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0.01</w:t>
            </w:r>
            <w:r>
              <w:rPr>
                <w:rFonts w:hint="eastAsia" w:ascii="宋体" w:hAnsi="宋体" w:eastAsia="宋体" w:cs="宋体"/>
                <w:color w:val="000000"/>
                <w:kern w:val="0"/>
                <w:sz w:val="21"/>
                <w:szCs w:val="21"/>
                <w:lang w:val="en-US" w:eastAsia="zh-CN"/>
              </w:rPr>
              <w:t>mg/L</w:t>
            </w:r>
          </w:p>
        </w:tc>
      </w:tr>
      <w:tr w14:paraId="5AE946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8" w:type="pct"/>
            <w:vMerge w:val="continue"/>
            <w:vAlign w:val="center"/>
          </w:tcPr>
          <w:p w14:paraId="6AB431A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kern w:val="2"/>
                <w:sz w:val="21"/>
                <w:szCs w:val="21"/>
                <w:highlight w:val="none"/>
                <w:lang w:val="en-US" w:eastAsia="zh-CN" w:bidi="ar-SA"/>
              </w:rPr>
            </w:pPr>
          </w:p>
        </w:tc>
        <w:tc>
          <w:tcPr>
            <w:tcW w:w="0" w:type="auto"/>
            <w:shd w:val="clear" w:color="auto" w:fill="auto"/>
            <w:vAlign w:val="center"/>
          </w:tcPr>
          <w:p w14:paraId="125825AB">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石油类</w:t>
            </w:r>
          </w:p>
        </w:tc>
        <w:tc>
          <w:tcPr>
            <w:tcW w:w="1915" w:type="pct"/>
            <w:shd w:val="clear" w:color="auto" w:fill="auto"/>
            <w:vAlign w:val="center"/>
          </w:tcPr>
          <w:p w14:paraId="5A4BCE9D">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水质 石油类和动植物油类的测定 红外分光光度法 HJ 637-2018</w:t>
            </w:r>
          </w:p>
        </w:tc>
        <w:tc>
          <w:tcPr>
            <w:tcW w:w="1308" w:type="pct"/>
            <w:shd w:val="clear" w:color="auto" w:fill="auto"/>
            <w:vAlign w:val="center"/>
          </w:tcPr>
          <w:p w14:paraId="365565E0">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红外测油仪/OIL-8</w:t>
            </w:r>
          </w:p>
        </w:tc>
        <w:tc>
          <w:tcPr>
            <w:tcW w:w="0" w:type="auto"/>
            <w:shd w:val="clear" w:color="auto" w:fill="auto"/>
            <w:vAlign w:val="center"/>
          </w:tcPr>
          <w:p w14:paraId="7161CFCB">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0.05</w:t>
            </w:r>
            <w:r>
              <w:rPr>
                <w:rFonts w:hint="eastAsia" w:ascii="宋体" w:hAnsi="宋体" w:eastAsia="宋体" w:cs="宋体"/>
                <w:color w:val="000000"/>
                <w:kern w:val="0"/>
                <w:sz w:val="21"/>
                <w:szCs w:val="21"/>
                <w:lang w:val="en-US" w:eastAsia="zh-CN"/>
              </w:rPr>
              <w:t>mg/L</w:t>
            </w:r>
          </w:p>
        </w:tc>
      </w:tr>
      <w:tr w14:paraId="02CAB8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8" w:type="pct"/>
            <w:vMerge w:val="continue"/>
            <w:vAlign w:val="center"/>
          </w:tcPr>
          <w:p w14:paraId="359219A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kern w:val="2"/>
                <w:sz w:val="21"/>
                <w:szCs w:val="21"/>
                <w:highlight w:val="none"/>
                <w:lang w:val="en-US" w:eastAsia="zh-CN" w:bidi="ar-SA"/>
              </w:rPr>
            </w:pPr>
          </w:p>
        </w:tc>
        <w:tc>
          <w:tcPr>
            <w:tcW w:w="0" w:type="auto"/>
            <w:shd w:val="clear" w:color="auto" w:fill="auto"/>
            <w:vAlign w:val="center"/>
          </w:tcPr>
          <w:p w14:paraId="30DD838A">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动植物油类</w:t>
            </w:r>
          </w:p>
        </w:tc>
        <w:tc>
          <w:tcPr>
            <w:tcW w:w="1915" w:type="pct"/>
            <w:shd w:val="clear" w:color="auto" w:fill="auto"/>
            <w:vAlign w:val="center"/>
          </w:tcPr>
          <w:p w14:paraId="43998407">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水质 石油类和动植物油类的测定 红外分光光度法 HJ 637-2018</w:t>
            </w:r>
          </w:p>
        </w:tc>
        <w:tc>
          <w:tcPr>
            <w:tcW w:w="1308" w:type="pct"/>
            <w:shd w:val="clear" w:color="auto" w:fill="auto"/>
            <w:vAlign w:val="center"/>
          </w:tcPr>
          <w:p w14:paraId="22FEF323">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红外测油仪/OIL-8</w:t>
            </w:r>
          </w:p>
        </w:tc>
        <w:tc>
          <w:tcPr>
            <w:tcW w:w="0" w:type="auto"/>
            <w:shd w:val="clear" w:color="auto" w:fill="auto"/>
            <w:vAlign w:val="center"/>
          </w:tcPr>
          <w:p w14:paraId="1A45162B">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0.06</w:t>
            </w:r>
            <w:r>
              <w:rPr>
                <w:rFonts w:hint="eastAsia" w:ascii="宋体" w:hAnsi="宋体" w:eastAsia="宋体" w:cs="宋体"/>
                <w:color w:val="000000"/>
                <w:kern w:val="0"/>
                <w:sz w:val="21"/>
                <w:szCs w:val="21"/>
                <w:lang w:val="en-US" w:eastAsia="zh-CN"/>
              </w:rPr>
              <w:t>mg/L</w:t>
            </w:r>
          </w:p>
        </w:tc>
      </w:tr>
      <w:tr w14:paraId="540AAF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8" w:type="pct"/>
            <w:vMerge w:val="continue"/>
            <w:vAlign w:val="center"/>
          </w:tcPr>
          <w:p w14:paraId="6324023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kern w:val="2"/>
                <w:sz w:val="21"/>
                <w:szCs w:val="21"/>
                <w:highlight w:val="none"/>
                <w:lang w:val="en-US" w:eastAsia="zh-CN" w:bidi="ar-SA"/>
              </w:rPr>
            </w:pPr>
          </w:p>
        </w:tc>
        <w:tc>
          <w:tcPr>
            <w:tcW w:w="0" w:type="auto"/>
            <w:shd w:val="clear" w:color="auto" w:fill="auto"/>
            <w:vAlign w:val="center"/>
          </w:tcPr>
          <w:p w14:paraId="40BCA115">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总氮</w:t>
            </w:r>
          </w:p>
        </w:tc>
        <w:tc>
          <w:tcPr>
            <w:tcW w:w="1915" w:type="pct"/>
            <w:shd w:val="clear" w:color="auto" w:fill="auto"/>
            <w:vAlign w:val="center"/>
          </w:tcPr>
          <w:p w14:paraId="5D1F9277">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水质 总氮的测定 碱性过硫酸钾消解紫外分光光度法 HJ 636-2012</w:t>
            </w:r>
          </w:p>
        </w:tc>
        <w:tc>
          <w:tcPr>
            <w:tcW w:w="1308" w:type="pct"/>
            <w:shd w:val="clear" w:color="auto" w:fill="auto"/>
            <w:vAlign w:val="center"/>
          </w:tcPr>
          <w:p w14:paraId="4C4283D2">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紫外可见分光光度计/752SD、手提式压力蒸汽灭菌器/YXQ-LS-18SII</w:t>
            </w:r>
          </w:p>
        </w:tc>
        <w:tc>
          <w:tcPr>
            <w:tcW w:w="0" w:type="auto"/>
            <w:shd w:val="clear" w:color="auto" w:fill="auto"/>
            <w:vAlign w:val="center"/>
          </w:tcPr>
          <w:p w14:paraId="01F39D8C">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0.06</w:t>
            </w:r>
            <w:r>
              <w:rPr>
                <w:rFonts w:hint="eastAsia" w:ascii="宋体" w:hAnsi="宋体" w:eastAsia="宋体" w:cs="宋体"/>
                <w:color w:val="000000"/>
                <w:kern w:val="0"/>
                <w:sz w:val="21"/>
                <w:szCs w:val="21"/>
                <w:lang w:val="en-US" w:eastAsia="zh-CN"/>
              </w:rPr>
              <w:t>mg/L</w:t>
            </w:r>
          </w:p>
        </w:tc>
      </w:tr>
      <w:tr w14:paraId="4DF692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378" w:type="pct"/>
            <w:vMerge w:val="continue"/>
            <w:vAlign w:val="center"/>
          </w:tcPr>
          <w:p w14:paraId="16B80AA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kern w:val="2"/>
                <w:sz w:val="21"/>
                <w:szCs w:val="21"/>
                <w:highlight w:val="none"/>
                <w:lang w:val="en-US" w:eastAsia="zh-CN" w:bidi="ar-SA"/>
              </w:rPr>
            </w:pPr>
          </w:p>
        </w:tc>
        <w:tc>
          <w:tcPr>
            <w:tcW w:w="0" w:type="auto"/>
            <w:shd w:val="clear" w:color="auto" w:fill="auto"/>
            <w:vAlign w:val="center"/>
          </w:tcPr>
          <w:p w14:paraId="370FEA71">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粪大肠菌群</w:t>
            </w:r>
          </w:p>
        </w:tc>
        <w:tc>
          <w:tcPr>
            <w:tcW w:w="1915" w:type="pct"/>
            <w:shd w:val="clear" w:color="auto" w:fill="auto"/>
            <w:vAlign w:val="center"/>
          </w:tcPr>
          <w:p w14:paraId="5227E7CA">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水质 粪大肠菌群的测定 多管发酵法 HJ 347.2-2018</w:t>
            </w:r>
          </w:p>
        </w:tc>
        <w:tc>
          <w:tcPr>
            <w:tcW w:w="1308" w:type="pct"/>
            <w:shd w:val="clear" w:color="auto" w:fill="auto"/>
            <w:vAlign w:val="center"/>
          </w:tcPr>
          <w:p w14:paraId="7C7539FB">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手提式压力蒸汽灭菌器/YXQ-LS-18SII、</w:t>
            </w:r>
          </w:p>
          <w:p w14:paraId="49862087">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生化培养箱/SHP-160</w:t>
            </w:r>
          </w:p>
        </w:tc>
        <w:tc>
          <w:tcPr>
            <w:tcW w:w="0" w:type="auto"/>
            <w:shd w:val="clear" w:color="auto" w:fill="auto"/>
            <w:vAlign w:val="center"/>
          </w:tcPr>
          <w:p w14:paraId="3E0F2907">
            <w:pPr>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20（MPN/L）</w:t>
            </w:r>
          </w:p>
        </w:tc>
      </w:tr>
      <w:tr w14:paraId="354C7B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8" w:type="pct"/>
            <w:vMerge w:val="continue"/>
            <w:vAlign w:val="center"/>
          </w:tcPr>
          <w:p w14:paraId="7BD38DA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kern w:val="2"/>
                <w:sz w:val="21"/>
                <w:szCs w:val="21"/>
                <w:highlight w:val="none"/>
                <w:lang w:val="en-US" w:eastAsia="zh-CN" w:bidi="ar-SA"/>
              </w:rPr>
            </w:pPr>
          </w:p>
        </w:tc>
        <w:tc>
          <w:tcPr>
            <w:tcW w:w="0" w:type="auto"/>
            <w:shd w:val="clear" w:color="auto" w:fill="auto"/>
            <w:vAlign w:val="center"/>
          </w:tcPr>
          <w:p w14:paraId="5019B7DF">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氟化物</w:t>
            </w:r>
          </w:p>
        </w:tc>
        <w:tc>
          <w:tcPr>
            <w:tcW w:w="1915" w:type="pct"/>
            <w:shd w:val="clear" w:color="auto" w:fill="auto"/>
            <w:vAlign w:val="center"/>
          </w:tcPr>
          <w:p w14:paraId="6FAD0960">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水质 氟化物的测定 离子选择电极法 GB/T 7484-1987</w:t>
            </w:r>
          </w:p>
        </w:tc>
        <w:tc>
          <w:tcPr>
            <w:tcW w:w="1308" w:type="pct"/>
            <w:shd w:val="clear" w:color="auto" w:fill="auto"/>
            <w:vAlign w:val="center"/>
          </w:tcPr>
          <w:p w14:paraId="500EC6E6">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离子计/PXSJ-270F</w:t>
            </w:r>
          </w:p>
        </w:tc>
        <w:tc>
          <w:tcPr>
            <w:tcW w:w="0" w:type="auto"/>
            <w:shd w:val="clear" w:color="auto" w:fill="auto"/>
            <w:vAlign w:val="center"/>
          </w:tcPr>
          <w:p w14:paraId="4DB0FE2A">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0.05</w:t>
            </w:r>
            <w:r>
              <w:rPr>
                <w:rFonts w:hint="eastAsia" w:ascii="宋体" w:hAnsi="宋体" w:eastAsia="宋体" w:cs="宋体"/>
                <w:color w:val="000000"/>
                <w:kern w:val="0"/>
                <w:sz w:val="21"/>
                <w:szCs w:val="21"/>
                <w:lang w:val="en-US" w:eastAsia="zh-CN"/>
              </w:rPr>
              <w:t>mg/L</w:t>
            </w:r>
          </w:p>
        </w:tc>
      </w:tr>
      <w:tr w14:paraId="231499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8" w:type="pct"/>
            <w:vMerge w:val="restart"/>
            <w:vAlign w:val="center"/>
          </w:tcPr>
          <w:p w14:paraId="2FCCC0D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color w:val="auto"/>
                <w:kern w:val="0"/>
                <w:sz w:val="21"/>
                <w:szCs w:val="21"/>
                <w:lang w:val="en-US" w:eastAsia="zh-CN"/>
              </w:rPr>
              <w:t>地下水检测</w:t>
            </w:r>
          </w:p>
        </w:tc>
        <w:tc>
          <w:tcPr>
            <w:tcW w:w="0" w:type="auto"/>
            <w:shd w:val="clear" w:color="auto" w:fill="auto"/>
            <w:vAlign w:val="center"/>
          </w:tcPr>
          <w:p w14:paraId="523B3F01">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氨氮</w:t>
            </w:r>
          </w:p>
        </w:tc>
        <w:tc>
          <w:tcPr>
            <w:tcW w:w="1915" w:type="pct"/>
            <w:shd w:val="clear" w:color="auto" w:fill="auto"/>
            <w:vAlign w:val="center"/>
          </w:tcPr>
          <w:p w14:paraId="2CD4AA5A">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水质 氨氮的测定 纳氏试剂分光光度法 HJ 535-2009</w:t>
            </w:r>
          </w:p>
        </w:tc>
        <w:tc>
          <w:tcPr>
            <w:tcW w:w="1308" w:type="pct"/>
            <w:shd w:val="clear" w:color="auto" w:fill="auto"/>
            <w:vAlign w:val="center"/>
          </w:tcPr>
          <w:p w14:paraId="37EA8165">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紫外可见分光光度计/752SD</w:t>
            </w:r>
          </w:p>
        </w:tc>
        <w:tc>
          <w:tcPr>
            <w:tcW w:w="0" w:type="auto"/>
            <w:shd w:val="clear" w:color="auto" w:fill="auto"/>
            <w:vAlign w:val="center"/>
          </w:tcPr>
          <w:p w14:paraId="7DF36562">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10</w:t>
            </w:r>
            <w:r>
              <w:rPr>
                <w:rFonts w:hint="eastAsia" w:ascii="宋体" w:hAnsi="宋体" w:eastAsia="宋体" w:cs="宋体"/>
                <w:color w:val="000000"/>
                <w:kern w:val="0"/>
                <w:sz w:val="21"/>
                <w:szCs w:val="21"/>
                <w:lang w:val="en-US" w:eastAsia="zh-CN"/>
              </w:rPr>
              <w:t>mg/L</w:t>
            </w:r>
          </w:p>
        </w:tc>
      </w:tr>
      <w:tr w14:paraId="587940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8" w:type="pct"/>
            <w:vMerge w:val="continue"/>
            <w:vAlign w:val="center"/>
          </w:tcPr>
          <w:p w14:paraId="33A25AE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kern w:val="2"/>
                <w:sz w:val="21"/>
                <w:szCs w:val="21"/>
                <w:highlight w:val="none"/>
                <w:lang w:val="en-US" w:eastAsia="zh-CN" w:bidi="ar-SA"/>
              </w:rPr>
            </w:pPr>
          </w:p>
        </w:tc>
        <w:tc>
          <w:tcPr>
            <w:tcW w:w="0" w:type="auto"/>
            <w:shd w:val="clear" w:color="auto" w:fill="auto"/>
            <w:vAlign w:val="center"/>
          </w:tcPr>
          <w:p w14:paraId="38141DAC">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硝酸盐氮</w:t>
            </w:r>
          </w:p>
        </w:tc>
        <w:tc>
          <w:tcPr>
            <w:tcW w:w="1915" w:type="pct"/>
            <w:shd w:val="clear" w:color="auto" w:fill="auto"/>
            <w:vAlign w:val="center"/>
          </w:tcPr>
          <w:p w14:paraId="493C7D24">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水质 硝酸盐氮的测定 紫外分光光度法（试行）HJ/T 346-2007</w:t>
            </w:r>
          </w:p>
        </w:tc>
        <w:tc>
          <w:tcPr>
            <w:tcW w:w="1308" w:type="pct"/>
            <w:shd w:val="clear" w:color="auto" w:fill="auto"/>
            <w:vAlign w:val="center"/>
          </w:tcPr>
          <w:p w14:paraId="3A75EFDA">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紫外可见分光光度计/752SD</w:t>
            </w:r>
          </w:p>
        </w:tc>
        <w:tc>
          <w:tcPr>
            <w:tcW w:w="0" w:type="auto"/>
            <w:shd w:val="clear" w:color="auto" w:fill="auto"/>
            <w:vAlign w:val="center"/>
          </w:tcPr>
          <w:p w14:paraId="59EDE627">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0.025</w:t>
            </w:r>
            <w:r>
              <w:rPr>
                <w:rFonts w:hint="eastAsia" w:ascii="宋体" w:hAnsi="宋体" w:eastAsia="宋体" w:cs="宋体"/>
                <w:color w:val="000000"/>
                <w:kern w:val="0"/>
                <w:sz w:val="21"/>
                <w:szCs w:val="21"/>
                <w:lang w:val="en-US" w:eastAsia="zh-CN"/>
              </w:rPr>
              <w:t>mg/L</w:t>
            </w:r>
          </w:p>
        </w:tc>
      </w:tr>
      <w:tr w14:paraId="56DDE7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8" w:type="pct"/>
            <w:vMerge w:val="continue"/>
            <w:vAlign w:val="center"/>
          </w:tcPr>
          <w:p w14:paraId="1B01AAF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kern w:val="2"/>
                <w:sz w:val="21"/>
                <w:szCs w:val="21"/>
                <w:highlight w:val="none"/>
                <w:lang w:val="en-US" w:eastAsia="zh-CN" w:bidi="ar-SA"/>
              </w:rPr>
            </w:pPr>
          </w:p>
        </w:tc>
        <w:tc>
          <w:tcPr>
            <w:tcW w:w="0" w:type="auto"/>
            <w:shd w:val="clear" w:color="auto" w:fill="auto"/>
            <w:vAlign w:val="center"/>
          </w:tcPr>
          <w:p w14:paraId="6B9093B9">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总硬度</w:t>
            </w:r>
          </w:p>
        </w:tc>
        <w:tc>
          <w:tcPr>
            <w:tcW w:w="1915" w:type="pct"/>
            <w:shd w:val="clear" w:color="auto" w:fill="auto"/>
            <w:vAlign w:val="center"/>
          </w:tcPr>
          <w:p w14:paraId="264195EE">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水质 钙和镁总量的测定 EDTA滴定法 GB/T 7477-1987</w:t>
            </w:r>
          </w:p>
        </w:tc>
        <w:tc>
          <w:tcPr>
            <w:tcW w:w="1308" w:type="pct"/>
            <w:shd w:val="clear" w:color="auto" w:fill="auto"/>
            <w:vAlign w:val="center"/>
          </w:tcPr>
          <w:p w14:paraId="346D71C8">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滴定管</w:t>
            </w:r>
          </w:p>
        </w:tc>
        <w:tc>
          <w:tcPr>
            <w:tcW w:w="0" w:type="auto"/>
            <w:shd w:val="clear" w:color="auto" w:fill="auto"/>
            <w:vAlign w:val="center"/>
          </w:tcPr>
          <w:p w14:paraId="322F8CBC">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0.08</w:t>
            </w:r>
            <w:r>
              <w:rPr>
                <w:rFonts w:hint="eastAsia" w:ascii="宋体" w:hAnsi="宋体" w:eastAsia="宋体" w:cs="宋体"/>
                <w:color w:val="000000"/>
                <w:kern w:val="0"/>
                <w:sz w:val="21"/>
                <w:szCs w:val="21"/>
                <w:lang w:val="en-US" w:eastAsia="zh-CN"/>
              </w:rPr>
              <w:t>mg/L</w:t>
            </w:r>
          </w:p>
        </w:tc>
      </w:tr>
      <w:tr w14:paraId="655B7A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8" w:type="pct"/>
            <w:vMerge w:val="continue"/>
            <w:vAlign w:val="center"/>
          </w:tcPr>
          <w:p w14:paraId="2511929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kern w:val="2"/>
                <w:sz w:val="21"/>
                <w:szCs w:val="21"/>
                <w:highlight w:val="none"/>
                <w:lang w:val="en-US" w:eastAsia="zh-CN" w:bidi="ar-SA"/>
              </w:rPr>
            </w:pPr>
          </w:p>
        </w:tc>
        <w:tc>
          <w:tcPr>
            <w:tcW w:w="0" w:type="auto"/>
            <w:shd w:val="clear" w:color="auto" w:fill="auto"/>
            <w:vAlign w:val="center"/>
          </w:tcPr>
          <w:p w14:paraId="3B355DA7">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溶解性总固体</w:t>
            </w:r>
          </w:p>
        </w:tc>
        <w:tc>
          <w:tcPr>
            <w:tcW w:w="1915" w:type="pct"/>
            <w:shd w:val="clear" w:color="auto" w:fill="auto"/>
            <w:vAlign w:val="center"/>
          </w:tcPr>
          <w:p w14:paraId="4D0417B5">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生活饮用水标准检验方法第4部分：感官</w:t>
            </w:r>
          </w:p>
          <w:p w14:paraId="2E047DEC">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性状和物理指标GB/T5750.4-2023(11.1)</w:t>
            </w:r>
          </w:p>
        </w:tc>
        <w:tc>
          <w:tcPr>
            <w:tcW w:w="1308" w:type="pct"/>
            <w:shd w:val="clear" w:color="auto" w:fill="auto"/>
            <w:vAlign w:val="center"/>
          </w:tcPr>
          <w:p w14:paraId="58DB63E4">
            <w:pPr>
              <w:keepNext w:val="0"/>
              <w:keepLines w:val="0"/>
              <w:widowControl/>
              <w:suppressLineNumbers w:val="0"/>
              <w:jc w:val="center"/>
              <w:textAlignment w:val="center"/>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电子天平/FA2104B</w:t>
            </w:r>
            <w:r>
              <w:rPr>
                <w:rFonts w:hint="eastAsia" w:ascii="宋体" w:hAnsi="宋体" w:eastAsia="宋体" w:cs="宋体"/>
                <w:color w:val="auto"/>
                <w:kern w:val="0"/>
                <w:sz w:val="21"/>
                <w:szCs w:val="21"/>
                <w:lang w:eastAsia="zh-CN"/>
              </w:rPr>
              <w:t>、</w:t>
            </w:r>
          </w:p>
          <w:p w14:paraId="21FA38A2">
            <w:pPr>
              <w:keepNext w:val="0"/>
              <w:keepLines w:val="0"/>
              <w:widowControl/>
              <w:suppressLineNumbers w:val="0"/>
              <w:jc w:val="center"/>
              <w:textAlignment w:val="center"/>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电热鼓风干燥箱/GZX-9141MBE、</w:t>
            </w:r>
          </w:p>
          <w:p w14:paraId="286495F8">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eastAsia="zh-CN"/>
              </w:rPr>
              <w:t>数显恒温水浴锅/HH-2</w:t>
            </w:r>
          </w:p>
        </w:tc>
        <w:tc>
          <w:tcPr>
            <w:tcW w:w="0" w:type="auto"/>
            <w:shd w:val="clear" w:color="auto" w:fill="auto"/>
            <w:vAlign w:val="center"/>
          </w:tcPr>
          <w:p w14:paraId="090AA5FA">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5</w:t>
            </w:r>
            <w:r>
              <w:rPr>
                <w:rFonts w:hint="eastAsia" w:ascii="宋体" w:hAnsi="宋体" w:eastAsia="宋体" w:cs="宋体"/>
                <w:color w:val="000000"/>
                <w:kern w:val="0"/>
                <w:sz w:val="21"/>
                <w:szCs w:val="21"/>
                <w:lang w:val="en-US" w:eastAsia="zh-CN"/>
              </w:rPr>
              <w:t>mg/L</w:t>
            </w:r>
          </w:p>
        </w:tc>
      </w:tr>
      <w:tr w14:paraId="499781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8" w:type="pct"/>
            <w:vMerge w:val="continue"/>
            <w:vAlign w:val="center"/>
          </w:tcPr>
          <w:p w14:paraId="454F636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kern w:val="2"/>
                <w:sz w:val="21"/>
                <w:szCs w:val="21"/>
                <w:highlight w:val="none"/>
                <w:lang w:val="en-US" w:eastAsia="zh-CN" w:bidi="ar-SA"/>
              </w:rPr>
            </w:pPr>
          </w:p>
        </w:tc>
        <w:tc>
          <w:tcPr>
            <w:tcW w:w="0" w:type="auto"/>
            <w:shd w:val="clear" w:color="auto" w:fill="auto"/>
            <w:vAlign w:val="center"/>
          </w:tcPr>
          <w:p w14:paraId="24F5DB93">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高锰酸盐指数</w:t>
            </w:r>
          </w:p>
        </w:tc>
        <w:tc>
          <w:tcPr>
            <w:tcW w:w="1915" w:type="pct"/>
            <w:shd w:val="clear" w:color="auto" w:fill="auto"/>
            <w:vAlign w:val="center"/>
          </w:tcPr>
          <w:p w14:paraId="7CB30584">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水质 高锰酸盐指数的测定 GB/T 11892-1989</w:t>
            </w:r>
          </w:p>
        </w:tc>
        <w:tc>
          <w:tcPr>
            <w:tcW w:w="1308" w:type="pct"/>
            <w:shd w:val="clear" w:color="auto" w:fill="auto"/>
            <w:vAlign w:val="center"/>
          </w:tcPr>
          <w:p w14:paraId="04A6E846">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电热恒温水浴锅HH-6、滴定管</w:t>
            </w:r>
          </w:p>
        </w:tc>
        <w:tc>
          <w:tcPr>
            <w:tcW w:w="0" w:type="auto"/>
            <w:shd w:val="clear" w:color="auto" w:fill="auto"/>
            <w:vAlign w:val="center"/>
          </w:tcPr>
          <w:p w14:paraId="5E7A1BD6">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4</w:t>
            </w:r>
            <w:r>
              <w:rPr>
                <w:rFonts w:hint="eastAsia" w:ascii="宋体" w:hAnsi="宋体" w:eastAsia="宋体" w:cs="宋体"/>
                <w:color w:val="000000"/>
                <w:kern w:val="0"/>
                <w:sz w:val="21"/>
                <w:szCs w:val="21"/>
                <w:lang w:val="en-US" w:eastAsia="zh-CN"/>
              </w:rPr>
              <w:t>mg/L</w:t>
            </w:r>
          </w:p>
        </w:tc>
      </w:tr>
      <w:tr w14:paraId="7BB56D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8" w:type="pct"/>
            <w:vMerge w:val="continue"/>
            <w:vAlign w:val="center"/>
          </w:tcPr>
          <w:p w14:paraId="431D12A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kern w:val="2"/>
                <w:sz w:val="21"/>
                <w:szCs w:val="21"/>
                <w:highlight w:val="none"/>
                <w:lang w:val="en-US" w:eastAsia="zh-CN" w:bidi="ar-SA"/>
              </w:rPr>
            </w:pPr>
          </w:p>
        </w:tc>
        <w:tc>
          <w:tcPr>
            <w:tcW w:w="0" w:type="auto"/>
            <w:shd w:val="clear" w:color="auto" w:fill="auto"/>
            <w:vAlign w:val="center"/>
          </w:tcPr>
          <w:p w14:paraId="7F5A0702">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硫酸盐</w:t>
            </w:r>
          </w:p>
        </w:tc>
        <w:tc>
          <w:tcPr>
            <w:tcW w:w="1915" w:type="pct"/>
            <w:shd w:val="clear" w:color="auto" w:fill="auto"/>
            <w:vAlign w:val="center"/>
          </w:tcPr>
          <w:p w14:paraId="4C4EADB6">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水质 硫酸盐的测定 铬酸钡分光光度法（试行）HJ/T 342-2007</w:t>
            </w:r>
          </w:p>
        </w:tc>
        <w:tc>
          <w:tcPr>
            <w:tcW w:w="1308" w:type="pct"/>
            <w:shd w:val="clear" w:color="auto" w:fill="auto"/>
            <w:vAlign w:val="center"/>
          </w:tcPr>
          <w:p w14:paraId="143A0F87">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紫外可见分光光度计/752SD</w:t>
            </w:r>
          </w:p>
        </w:tc>
        <w:tc>
          <w:tcPr>
            <w:tcW w:w="0" w:type="auto"/>
            <w:shd w:val="clear" w:color="auto" w:fill="auto"/>
            <w:vAlign w:val="center"/>
          </w:tcPr>
          <w:p w14:paraId="22248F47">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0.5</w:t>
            </w:r>
            <w:r>
              <w:rPr>
                <w:rFonts w:hint="eastAsia" w:ascii="宋体" w:hAnsi="宋体" w:eastAsia="宋体" w:cs="宋体"/>
                <w:color w:val="000000"/>
                <w:kern w:val="0"/>
                <w:sz w:val="21"/>
                <w:szCs w:val="21"/>
                <w:lang w:val="en-US" w:eastAsia="zh-CN"/>
              </w:rPr>
              <w:t>mg/L</w:t>
            </w:r>
          </w:p>
        </w:tc>
      </w:tr>
      <w:tr w14:paraId="1910B7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8" w:type="pct"/>
            <w:vMerge w:val="continue"/>
            <w:vAlign w:val="center"/>
          </w:tcPr>
          <w:p w14:paraId="6F1A37D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kern w:val="2"/>
                <w:sz w:val="21"/>
                <w:szCs w:val="21"/>
                <w:highlight w:val="none"/>
                <w:lang w:val="en-US" w:eastAsia="zh-CN" w:bidi="ar-SA"/>
              </w:rPr>
            </w:pPr>
          </w:p>
        </w:tc>
        <w:tc>
          <w:tcPr>
            <w:tcW w:w="0" w:type="auto"/>
            <w:shd w:val="clear" w:color="auto" w:fill="auto"/>
            <w:vAlign w:val="center"/>
          </w:tcPr>
          <w:p w14:paraId="354BE948">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菌落总数</w:t>
            </w:r>
          </w:p>
        </w:tc>
        <w:tc>
          <w:tcPr>
            <w:tcW w:w="1915" w:type="pct"/>
            <w:shd w:val="clear" w:color="auto" w:fill="auto"/>
            <w:vAlign w:val="center"/>
          </w:tcPr>
          <w:p w14:paraId="342B9703">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生活饮用水标准检验方法第12部分：微生物指标GB/T 5750.12-2023(4.1)</w:t>
            </w:r>
          </w:p>
        </w:tc>
        <w:tc>
          <w:tcPr>
            <w:tcW w:w="1308" w:type="pct"/>
            <w:shd w:val="clear" w:color="auto" w:fill="auto"/>
            <w:vAlign w:val="center"/>
          </w:tcPr>
          <w:p w14:paraId="1AB8039F">
            <w:pPr>
              <w:keepNext w:val="0"/>
              <w:keepLines w:val="0"/>
              <w:widowControl/>
              <w:suppressLineNumbers w:val="0"/>
              <w:jc w:val="center"/>
              <w:textAlignment w:val="center"/>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手提式压力蒸汽灭菌器/YXQ-LS-18SII</w:t>
            </w:r>
            <w:r>
              <w:rPr>
                <w:rFonts w:hint="eastAsia" w:ascii="宋体" w:hAnsi="宋体" w:eastAsia="宋体" w:cs="宋体"/>
                <w:color w:val="auto"/>
                <w:kern w:val="0"/>
                <w:sz w:val="21"/>
                <w:szCs w:val="21"/>
                <w:lang w:eastAsia="zh-CN"/>
              </w:rPr>
              <w:t>、</w:t>
            </w:r>
          </w:p>
          <w:p w14:paraId="328953A0">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eastAsia="zh-CN"/>
              </w:rPr>
              <w:t>生化培养箱/SHP-160</w:t>
            </w:r>
          </w:p>
        </w:tc>
        <w:tc>
          <w:tcPr>
            <w:tcW w:w="0" w:type="auto"/>
            <w:shd w:val="clear" w:color="auto" w:fill="auto"/>
            <w:vAlign w:val="center"/>
          </w:tcPr>
          <w:p w14:paraId="63C5689A">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8</w:t>
            </w:r>
            <w:r>
              <w:rPr>
                <w:rFonts w:hint="eastAsia" w:ascii="宋体" w:hAnsi="宋体" w:eastAsia="宋体" w:cs="宋体"/>
                <w:color w:val="000000"/>
                <w:kern w:val="0"/>
                <w:sz w:val="21"/>
                <w:szCs w:val="21"/>
                <w:lang w:val="en-US" w:eastAsia="zh-CN"/>
              </w:rPr>
              <w:t>mg/L</w:t>
            </w:r>
          </w:p>
        </w:tc>
      </w:tr>
      <w:tr w14:paraId="432FB0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8" w:type="pct"/>
            <w:vMerge w:val="continue"/>
            <w:vAlign w:val="center"/>
          </w:tcPr>
          <w:p w14:paraId="512D587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kern w:val="2"/>
                <w:sz w:val="21"/>
                <w:szCs w:val="21"/>
                <w:highlight w:val="none"/>
                <w:lang w:val="en-US" w:eastAsia="zh-CN" w:bidi="ar-SA"/>
              </w:rPr>
            </w:pPr>
          </w:p>
        </w:tc>
        <w:tc>
          <w:tcPr>
            <w:tcW w:w="0" w:type="auto"/>
            <w:shd w:val="clear" w:color="auto" w:fill="auto"/>
            <w:vAlign w:val="center"/>
          </w:tcPr>
          <w:p w14:paraId="4FD14C33">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氯化物</w:t>
            </w:r>
          </w:p>
        </w:tc>
        <w:tc>
          <w:tcPr>
            <w:tcW w:w="1915" w:type="pct"/>
            <w:shd w:val="clear" w:color="auto" w:fill="auto"/>
            <w:vAlign w:val="center"/>
          </w:tcPr>
          <w:p w14:paraId="6AEF4C65">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水质 氯化物的测定 硝酸银滴定法</w:t>
            </w:r>
          </w:p>
          <w:p w14:paraId="538061D8">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GB/T 11896-1989</w:t>
            </w:r>
          </w:p>
        </w:tc>
        <w:tc>
          <w:tcPr>
            <w:tcW w:w="1308" w:type="pct"/>
            <w:shd w:val="clear" w:color="auto" w:fill="auto"/>
            <w:vAlign w:val="center"/>
          </w:tcPr>
          <w:p w14:paraId="79B5D8B0">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滴定管</w:t>
            </w:r>
          </w:p>
        </w:tc>
        <w:tc>
          <w:tcPr>
            <w:tcW w:w="0" w:type="auto"/>
            <w:shd w:val="clear" w:color="auto" w:fill="auto"/>
            <w:vAlign w:val="center"/>
          </w:tcPr>
          <w:p w14:paraId="5FFBC2A4">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auto"/>
                <w:kern w:val="2"/>
                <w:sz w:val="21"/>
                <w:szCs w:val="21"/>
                <w:lang w:val="en-US" w:eastAsia="zh-CN" w:bidi="ar-SA"/>
              </w:rPr>
              <w:t>/</w:t>
            </w:r>
          </w:p>
        </w:tc>
      </w:tr>
      <w:tr w14:paraId="597430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8" w:type="pct"/>
            <w:vMerge w:val="restart"/>
            <w:vAlign w:val="center"/>
          </w:tcPr>
          <w:p w14:paraId="4147F38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b w:val="0"/>
                <w:bCs w:val="0"/>
                <w:color w:val="auto"/>
                <w:kern w:val="0"/>
                <w:sz w:val="21"/>
                <w:szCs w:val="21"/>
                <w:lang w:val="en-US" w:eastAsia="zh-CN"/>
              </w:rPr>
              <w:t>噪声检测</w:t>
            </w:r>
          </w:p>
        </w:tc>
        <w:tc>
          <w:tcPr>
            <w:tcW w:w="0" w:type="auto"/>
            <w:shd w:val="clear" w:color="auto" w:fill="auto"/>
            <w:vAlign w:val="center"/>
          </w:tcPr>
          <w:p w14:paraId="4FF364A1">
            <w:pPr>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厂界环境噪声</w:t>
            </w:r>
          </w:p>
        </w:tc>
        <w:tc>
          <w:tcPr>
            <w:tcW w:w="1915" w:type="pct"/>
            <w:shd w:val="clear" w:color="auto" w:fill="auto"/>
            <w:vAlign w:val="center"/>
          </w:tcPr>
          <w:p w14:paraId="42A6CEB7">
            <w:pPr>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工业企业厂界环境噪声排放标准</w:t>
            </w:r>
          </w:p>
          <w:p w14:paraId="6108621F">
            <w:pPr>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eastAsia="zh-CN"/>
              </w:rPr>
              <w:t>GB 12348-2008</w:t>
            </w:r>
          </w:p>
        </w:tc>
        <w:tc>
          <w:tcPr>
            <w:tcW w:w="1308" w:type="pct"/>
            <w:vMerge w:val="restart"/>
            <w:shd w:val="clear" w:color="auto" w:fill="auto"/>
            <w:vAlign w:val="center"/>
          </w:tcPr>
          <w:p w14:paraId="3C133EBB">
            <w:pPr>
              <w:jc w:val="center"/>
              <w:rPr>
                <w:rFonts w:hint="eastAsia" w:ascii="宋体" w:hAnsi="宋体" w:eastAsia="宋体" w:cs="宋体"/>
                <w:color w:val="auto"/>
                <w:kern w:val="0"/>
                <w:sz w:val="21"/>
                <w:szCs w:val="21"/>
                <w:lang w:val="en-US" w:eastAsia="zh-CN"/>
              </w:rPr>
            </w:pPr>
            <w:r>
              <w:rPr>
                <w:rFonts w:hint="eastAsia" w:ascii="宋体" w:hAnsi="宋体" w:eastAsia="宋体" w:cs="宋体"/>
                <w:color w:val="000000"/>
                <w:kern w:val="0"/>
                <w:sz w:val="21"/>
                <w:szCs w:val="21"/>
                <w:lang w:val="en-US" w:eastAsia="zh-CN"/>
              </w:rPr>
              <w:t>多功能声级计/AWA5688、声校准器/AWA6022A型、便携式风向风速仪/KM-F70</w:t>
            </w:r>
          </w:p>
        </w:tc>
        <w:tc>
          <w:tcPr>
            <w:tcW w:w="0" w:type="auto"/>
            <w:shd w:val="clear" w:color="auto" w:fill="auto"/>
            <w:vAlign w:val="center"/>
          </w:tcPr>
          <w:p w14:paraId="7F2F1B3D">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w:t>
            </w:r>
          </w:p>
        </w:tc>
      </w:tr>
      <w:tr w14:paraId="1BB4C6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8" w:type="pct"/>
            <w:vMerge w:val="continue"/>
            <w:vAlign w:val="center"/>
          </w:tcPr>
          <w:p w14:paraId="158A8BD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kern w:val="2"/>
                <w:sz w:val="21"/>
                <w:szCs w:val="21"/>
                <w:highlight w:val="none"/>
                <w:lang w:val="en-US" w:eastAsia="zh-CN" w:bidi="ar-SA"/>
              </w:rPr>
            </w:pPr>
          </w:p>
        </w:tc>
        <w:tc>
          <w:tcPr>
            <w:tcW w:w="0" w:type="auto"/>
            <w:shd w:val="clear" w:color="auto" w:fill="auto"/>
            <w:vAlign w:val="center"/>
          </w:tcPr>
          <w:p w14:paraId="2985C0B2">
            <w:pPr>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环境噪声</w:t>
            </w:r>
          </w:p>
        </w:tc>
        <w:tc>
          <w:tcPr>
            <w:tcW w:w="1915" w:type="pct"/>
            <w:shd w:val="clear" w:color="auto" w:fill="auto"/>
            <w:vAlign w:val="center"/>
          </w:tcPr>
          <w:p w14:paraId="5E095A25">
            <w:pPr>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声环境质量标准GB 3096-2008</w:t>
            </w:r>
          </w:p>
        </w:tc>
        <w:tc>
          <w:tcPr>
            <w:tcW w:w="1308" w:type="pct"/>
            <w:vMerge w:val="continue"/>
            <w:shd w:val="clear" w:color="auto" w:fill="auto"/>
            <w:vAlign w:val="center"/>
          </w:tcPr>
          <w:p w14:paraId="7B1BFFD7">
            <w:pPr>
              <w:jc w:val="center"/>
              <w:rPr>
                <w:rFonts w:hint="eastAsia" w:ascii="宋体" w:hAnsi="宋体" w:eastAsia="宋体" w:cs="宋体"/>
                <w:color w:val="auto"/>
                <w:kern w:val="0"/>
                <w:sz w:val="21"/>
                <w:szCs w:val="21"/>
                <w:lang w:val="en-US" w:eastAsia="zh-CN"/>
              </w:rPr>
            </w:pPr>
          </w:p>
        </w:tc>
        <w:tc>
          <w:tcPr>
            <w:tcW w:w="0" w:type="auto"/>
            <w:shd w:val="clear" w:color="auto" w:fill="auto"/>
            <w:vAlign w:val="center"/>
          </w:tcPr>
          <w:p w14:paraId="6632CF79">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w:t>
            </w:r>
          </w:p>
        </w:tc>
      </w:tr>
    </w:tbl>
    <w:p w14:paraId="28CDE246">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1"/>
        <w:rPr>
          <w:rFonts w:hint="eastAsia" w:ascii="宋体" w:hAnsi="宋体" w:eastAsia="宋体" w:cs="宋体"/>
          <w:b/>
          <w:bCs/>
          <w:color w:val="000000"/>
          <w:kern w:val="0"/>
          <w:sz w:val="28"/>
          <w:szCs w:val="28"/>
          <w:lang w:val="en-US" w:eastAsia="zh-CN" w:bidi="ar"/>
        </w:rPr>
      </w:pPr>
      <w:bookmarkStart w:id="62" w:name="_Toc16990"/>
      <w:r>
        <w:rPr>
          <w:rFonts w:hint="eastAsia" w:ascii="宋体" w:hAnsi="宋体" w:eastAsia="宋体" w:cs="宋体"/>
          <w:b/>
          <w:bCs/>
          <w:color w:val="000000"/>
          <w:kern w:val="0"/>
          <w:sz w:val="28"/>
          <w:szCs w:val="28"/>
          <w:lang w:val="en-US" w:eastAsia="zh-CN" w:bidi="ar"/>
        </w:rPr>
        <w:t>8.2  监测质量保证和质量控制</w:t>
      </w:r>
      <w:bookmarkEnd w:id="62"/>
    </w:p>
    <w:p w14:paraId="7CFDF287">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2"/>
        <w:rPr>
          <w:rFonts w:hint="eastAsia" w:ascii="宋体" w:hAnsi="宋体" w:eastAsia="宋体" w:cs="宋体"/>
        </w:rPr>
      </w:pPr>
      <w:bookmarkStart w:id="63" w:name="_Toc9146"/>
      <w:r>
        <w:rPr>
          <w:rFonts w:hint="eastAsia" w:ascii="宋体" w:hAnsi="宋体" w:eastAsia="宋体" w:cs="宋体"/>
          <w:b/>
          <w:bCs/>
          <w:color w:val="000000"/>
          <w:kern w:val="0"/>
          <w:sz w:val="24"/>
          <w:szCs w:val="24"/>
          <w:lang w:val="en-US" w:eastAsia="zh-CN" w:bidi="ar"/>
        </w:rPr>
        <w:t>8.2.1  监测质量保证</w:t>
      </w:r>
      <w:bookmarkEnd w:id="63"/>
    </w:p>
    <w:p w14:paraId="01175580">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（1）水样监测质量保证</w:t>
      </w:r>
    </w:p>
    <w:p w14:paraId="051306FE">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本项目废水监测质量管理严格按照《</w:t>
      </w:r>
      <w:r>
        <w:rPr>
          <w:rFonts w:hint="eastAsia" w:ascii="宋体" w:hAnsi="宋体" w:cs="宋体"/>
          <w:kern w:val="2"/>
          <w:sz w:val="24"/>
          <w:szCs w:val="24"/>
          <w:lang w:val="en-US" w:eastAsia="zh-CN" w:bidi="ar-SA"/>
        </w:rPr>
        <w:t>污水监测技术规范</w:t>
      </w:r>
      <w:r>
        <w:rPr>
          <w:rFonts w:hint="eastAsia" w:ascii="宋体" w:hAnsi="宋体" w:eastAsia="宋体" w:cs="宋体"/>
          <w:kern w:val="2"/>
          <w:sz w:val="24"/>
          <w:szCs w:val="24"/>
          <w:lang w:val="en-US" w:eastAsia="zh-CN" w:bidi="ar-SA"/>
        </w:rPr>
        <w:t>》（</w:t>
      </w:r>
      <w:r>
        <w:rPr>
          <w:rFonts w:hint="eastAsia" w:ascii="宋体" w:hAnsi="宋体" w:cs="宋体"/>
          <w:kern w:val="2"/>
          <w:sz w:val="24"/>
          <w:szCs w:val="24"/>
          <w:lang w:val="en-US" w:eastAsia="zh-CN" w:bidi="ar-SA"/>
        </w:rPr>
        <w:t>HJ 91.1-2019</w:t>
      </w:r>
      <w:r>
        <w:rPr>
          <w:rFonts w:hint="eastAsia" w:ascii="宋体" w:hAnsi="宋体" w:eastAsia="宋体" w:cs="宋体"/>
          <w:kern w:val="2"/>
          <w:sz w:val="24"/>
          <w:szCs w:val="24"/>
          <w:lang w:val="en-US" w:eastAsia="zh-CN" w:bidi="ar-SA"/>
        </w:rPr>
        <w:t>）、《水质采样技术指导》（HJ494-2009）、《水质采样方案设计技术规定》（HJ495-2009）进行，样品保存与管理按照《水质样品的保存和管理技术规定》（HJ493-2009）进行，水样的实验室分析则严格按照各污染物的监测方法进行。</w:t>
      </w:r>
    </w:p>
    <w:p w14:paraId="0DA6B0BF">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（2）废气监测质量保证</w:t>
      </w:r>
    </w:p>
    <w:p w14:paraId="6F368E32">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本项目废气监测质量管理严格按照《环境监测质量管理技术导则》（HJ630-2011）开展，以《</w:t>
      </w:r>
      <w:r>
        <w:rPr>
          <w:rFonts w:hint="eastAsia" w:ascii="宋体" w:hAnsi="宋体" w:cs="宋体"/>
          <w:kern w:val="2"/>
          <w:sz w:val="24"/>
          <w:szCs w:val="24"/>
          <w:lang w:val="en-US" w:eastAsia="zh-CN" w:bidi="ar-SA"/>
        </w:rPr>
        <w:t>固定源废气监测技术规范</w:t>
      </w:r>
      <w:r>
        <w:rPr>
          <w:rFonts w:hint="eastAsia" w:ascii="宋体" w:hAnsi="宋体" w:eastAsia="宋体" w:cs="宋体"/>
          <w:kern w:val="2"/>
          <w:sz w:val="24"/>
          <w:szCs w:val="24"/>
          <w:lang w:val="en-US" w:eastAsia="zh-CN" w:bidi="ar-SA"/>
        </w:rPr>
        <w:t>》（HJ/T397-2007）、《大气污染物无组织排放监测技术导则》（HJ/T55-2000）、《环境空气质量手工监测技术规范》（</w:t>
      </w:r>
      <w:r>
        <w:rPr>
          <w:rFonts w:hint="eastAsia" w:ascii="宋体" w:hAnsi="宋体" w:cs="宋体"/>
          <w:kern w:val="2"/>
          <w:sz w:val="24"/>
          <w:szCs w:val="24"/>
          <w:lang w:val="en-US" w:eastAsia="zh-CN" w:bidi="ar-SA"/>
        </w:rPr>
        <w:t>HJ 194-2017</w:t>
      </w:r>
      <w:r>
        <w:rPr>
          <w:rFonts w:hint="eastAsia" w:ascii="宋体" w:hAnsi="宋体" w:eastAsia="宋体" w:cs="宋体"/>
          <w:kern w:val="2"/>
          <w:sz w:val="24"/>
          <w:szCs w:val="24"/>
          <w:lang w:val="en-US" w:eastAsia="zh-CN" w:bidi="ar-SA"/>
        </w:rPr>
        <w:t>）作为技术指导。</w:t>
      </w:r>
    </w:p>
    <w:p w14:paraId="04F9C2C1">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（3）噪声监测质量保证</w:t>
      </w:r>
    </w:p>
    <w:p w14:paraId="5671BFF3">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按照《工业企业厂界环境噪声排放标准》（GB12348-2008）的规定进行，测量仪器使用前、后进行了校准以保证监测数据的有效性和可靠性。</w:t>
      </w:r>
    </w:p>
    <w:p w14:paraId="4BFB87C2">
      <w:pPr>
        <w:pStyle w:val="9"/>
        <w:keepNext w:val="0"/>
        <w:keepLines w:val="0"/>
        <w:pageBreakBefore w:val="0"/>
        <w:widowControl w:val="0"/>
        <w:kinsoku/>
        <w:wordWrap/>
        <w:overflowPunct/>
        <w:topLinePunct w:val="0"/>
        <w:autoSpaceDE/>
        <w:autoSpaceDN/>
        <w:bidi w:val="0"/>
        <w:adjustRightInd/>
        <w:snapToGrid w:val="0"/>
        <w:spacing w:after="0" w:line="360" w:lineRule="auto"/>
        <w:ind w:left="0" w:leftChars="0" w:firstLine="0" w:firstLineChars="0"/>
        <w:jc w:val="both"/>
        <w:textAlignment w:val="auto"/>
        <w:outlineLvl w:val="2"/>
        <w:rPr>
          <w:rFonts w:hint="eastAsia" w:ascii="宋体" w:hAnsi="宋体" w:eastAsia="宋体" w:cs="宋体"/>
          <w:b/>
          <w:bCs/>
          <w:color w:val="000000"/>
          <w:kern w:val="0"/>
          <w:sz w:val="24"/>
          <w:szCs w:val="24"/>
          <w:lang w:val="en-US" w:eastAsia="zh-CN" w:bidi="ar"/>
        </w:rPr>
      </w:pPr>
      <w:bookmarkStart w:id="64" w:name="_Toc10488"/>
      <w:r>
        <w:rPr>
          <w:rFonts w:hint="eastAsia" w:ascii="宋体" w:hAnsi="宋体" w:eastAsia="宋体" w:cs="宋体"/>
          <w:b/>
          <w:bCs/>
          <w:color w:val="000000"/>
          <w:kern w:val="0"/>
          <w:sz w:val="24"/>
          <w:szCs w:val="24"/>
          <w:lang w:val="en-US" w:eastAsia="zh-CN" w:bidi="ar"/>
        </w:rPr>
        <w:t>8.2.2  监测控制</w:t>
      </w:r>
      <w:bookmarkEnd w:id="64"/>
    </w:p>
    <w:p w14:paraId="22380FEF">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采样分析人员管理本次验收监测采样、检测人员均按照国家要求持证上岗。仪器管理本次验收监测采样、检测仪器及设备均检定合格，并在检定合格的有效期内。监测报告审核本次验收监测报告执行校核、审核及批准三级审核制度。</w:t>
      </w:r>
    </w:p>
    <w:p w14:paraId="73DF6172">
      <w:pPr>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br w:type="page"/>
      </w:r>
    </w:p>
    <w:p w14:paraId="52C8B5CB">
      <w:pPr>
        <w:pStyle w:val="9"/>
        <w:keepNext w:val="0"/>
        <w:keepLines w:val="0"/>
        <w:pageBreakBefore w:val="0"/>
        <w:widowControl w:val="0"/>
        <w:kinsoku/>
        <w:wordWrap/>
        <w:overflowPunct/>
        <w:topLinePunct w:val="0"/>
        <w:autoSpaceDE/>
        <w:autoSpaceDN/>
        <w:bidi w:val="0"/>
        <w:adjustRightInd/>
        <w:snapToGrid w:val="0"/>
        <w:spacing w:after="0" w:line="360" w:lineRule="auto"/>
        <w:ind w:left="0" w:leftChars="0" w:firstLine="0" w:firstLineChars="0"/>
        <w:jc w:val="both"/>
        <w:textAlignment w:val="auto"/>
        <w:outlineLvl w:val="0"/>
        <w:rPr>
          <w:rFonts w:hint="eastAsia" w:ascii="宋体" w:hAnsi="宋体" w:eastAsia="宋体" w:cs="宋体"/>
          <w:b/>
          <w:bCs/>
          <w:color w:val="000000"/>
          <w:kern w:val="0"/>
          <w:sz w:val="32"/>
          <w:szCs w:val="32"/>
          <w:lang w:val="en-US" w:eastAsia="zh-CN" w:bidi="ar"/>
        </w:rPr>
      </w:pPr>
      <w:bookmarkStart w:id="65" w:name="_Toc12540"/>
      <w:r>
        <w:rPr>
          <w:rFonts w:hint="eastAsia" w:ascii="宋体" w:hAnsi="宋体" w:cs="宋体"/>
          <w:b/>
          <w:bCs/>
          <w:color w:val="000000"/>
          <w:kern w:val="0"/>
          <w:sz w:val="32"/>
          <w:szCs w:val="32"/>
          <w:lang w:val="en-US" w:eastAsia="zh-CN" w:bidi="ar"/>
        </w:rPr>
        <w:t>9</w:t>
      </w:r>
      <w:r>
        <w:rPr>
          <w:rFonts w:hint="default" w:ascii="宋体" w:hAnsi="宋体" w:eastAsia="宋体" w:cs="宋体"/>
          <w:b/>
          <w:bCs/>
          <w:color w:val="000000"/>
          <w:kern w:val="0"/>
          <w:sz w:val="32"/>
          <w:szCs w:val="32"/>
          <w:lang w:val="en-US" w:eastAsia="zh-CN" w:bidi="ar"/>
        </w:rPr>
        <w:t>.</w:t>
      </w:r>
      <w:r>
        <w:rPr>
          <w:rFonts w:hint="eastAsia" w:ascii="宋体" w:hAnsi="宋体" w:eastAsia="宋体" w:cs="宋体"/>
          <w:b/>
          <w:bCs/>
          <w:color w:val="000000"/>
          <w:kern w:val="0"/>
          <w:sz w:val="32"/>
          <w:szCs w:val="32"/>
          <w:lang w:val="en-US" w:eastAsia="zh-CN" w:bidi="ar"/>
        </w:rPr>
        <w:t xml:space="preserve"> </w:t>
      </w:r>
      <w:r>
        <w:rPr>
          <w:rFonts w:hint="default" w:ascii="宋体" w:hAnsi="宋体" w:eastAsia="宋体" w:cs="宋体"/>
          <w:b/>
          <w:bCs/>
          <w:color w:val="000000"/>
          <w:kern w:val="0"/>
          <w:sz w:val="32"/>
          <w:szCs w:val="32"/>
          <w:lang w:val="en-US" w:eastAsia="zh-CN" w:bidi="ar"/>
        </w:rPr>
        <w:t xml:space="preserve"> </w:t>
      </w:r>
      <w:r>
        <w:rPr>
          <w:rFonts w:hint="eastAsia" w:ascii="宋体" w:hAnsi="宋体" w:eastAsia="宋体" w:cs="宋体"/>
          <w:b/>
          <w:bCs/>
          <w:color w:val="000000"/>
          <w:kern w:val="0"/>
          <w:sz w:val="32"/>
          <w:szCs w:val="32"/>
          <w:lang w:val="en-US" w:eastAsia="zh-CN" w:bidi="ar"/>
        </w:rPr>
        <w:t>验收监测结果及评价</w:t>
      </w:r>
      <w:bookmarkEnd w:id="65"/>
    </w:p>
    <w:p w14:paraId="52A4057C">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1"/>
        <w:rPr>
          <w:sz w:val="28"/>
          <w:szCs w:val="28"/>
        </w:rPr>
      </w:pPr>
      <w:bookmarkStart w:id="66" w:name="_Toc22186"/>
      <w:r>
        <w:rPr>
          <w:rFonts w:hint="eastAsia" w:ascii="宋体" w:hAnsi="宋体" w:eastAsia="宋体" w:cs="宋体"/>
          <w:b/>
          <w:bCs/>
          <w:color w:val="000000"/>
          <w:kern w:val="0"/>
          <w:sz w:val="28"/>
          <w:szCs w:val="28"/>
          <w:lang w:val="en-US" w:eastAsia="zh-CN" w:bidi="ar"/>
        </w:rPr>
        <w:t>9.1  验收监测期间工况统计</w:t>
      </w:r>
      <w:bookmarkEnd w:id="66"/>
    </w:p>
    <w:p w14:paraId="0808B15C">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本项目于</w:t>
      </w:r>
      <w:r>
        <w:rPr>
          <w:rFonts w:hint="default" w:ascii="宋体" w:hAnsi="宋体" w:eastAsia="宋体" w:cs="宋体"/>
          <w:kern w:val="2"/>
          <w:sz w:val="24"/>
          <w:szCs w:val="24"/>
          <w:lang w:val="en-US" w:eastAsia="zh-CN" w:bidi="ar-SA"/>
        </w:rPr>
        <w:t>202</w:t>
      </w:r>
      <w:r>
        <w:rPr>
          <w:rFonts w:hint="eastAsia" w:ascii="宋体" w:hAnsi="宋体" w:cs="宋体"/>
          <w:kern w:val="2"/>
          <w:sz w:val="24"/>
          <w:szCs w:val="24"/>
          <w:lang w:val="en-US" w:eastAsia="zh-CN" w:bidi="ar-SA"/>
        </w:rPr>
        <w:t>5</w:t>
      </w:r>
      <w:r>
        <w:rPr>
          <w:rFonts w:hint="eastAsia" w:ascii="宋体" w:hAnsi="宋体" w:eastAsia="宋体" w:cs="宋体"/>
          <w:kern w:val="2"/>
          <w:sz w:val="24"/>
          <w:szCs w:val="24"/>
          <w:lang w:val="en-US" w:eastAsia="zh-CN" w:bidi="ar-SA"/>
        </w:rPr>
        <w:t>年</w:t>
      </w:r>
      <w:r>
        <w:rPr>
          <w:rFonts w:hint="default" w:ascii="宋体" w:hAnsi="宋体" w:eastAsia="宋体" w:cs="宋体"/>
          <w:kern w:val="2"/>
          <w:sz w:val="24"/>
          <w:szCs w:val="24"/>
          <w:lang w:val="en-US" w:eastAsia="zh-CN" w:bidi="ar-SA"/>
        </w:rPr>
        <w:t>0</w:t>
      </w:r>
      <w:r>
        <w:rPr>
          <w:rFonts w:hint="eastAsia" w:ascii="宋体" w:hAnsi="宋体" w:cs="宋体"/>
          <w:kern w:val="2"/>
          <w:sz w:val="24"/>
          <w:szCs w:val="24"/>
          <w:lang w:val="en-US" w:eastAsia="zh-CN" w:bidi="ar-SA"/>
        </w:rPr>
        <w:t>2</w:t>
      </w:r>
      <w:r>
        <w:rPr>
          <w:rFonts w:hint="eastAsia" w:ascii="宋体" w:hAnsi="宋体" w:eastAsia="宋体" w:cs="宋体"/>
          <w:kern w:val="2"/>
          <w:sz w:val="24"/>
          <w:szCs w:val="24"/>
          <w:lang w:val="en-US" w:eastAsia="zh-CN" w:bidi="ar-SA"/>
        </w:rPr>
        <w:t>月</w:t>
      </w:r>
      <w:r>
        <w:rPr>
          <w:rFonts w:hint="eastAsia" w:ascii="宋体" w:hAnsi="宋体" w:cs="宋体"/>
          <w:kern w:val="2"/>
          <w:sz w:val="24"/>
          <w:szCs w:val="24"/>
          <w:lang w:val="en-US" w:eastAsia="zh-CN" w:bidi="ar-SA"/>
        </w:rPr>
        <w:t>13</w:t>
      </w:r>
      <w:r>
        <w:rPr>
          <w:rFonts w:hint="eastAsia" w:ascii="宋体" w:hAnsi="宋体" w:eastAsia="宋体" w:cs="宋体"/>
          <w:kern w:val="2"/>
          <w:sz w:val="24"/>
          <w:szCs w:val="24"/>
          <w:lang w:val="en-US" w:eastAsia="zh-CN" w:bidi="ar-SA"/>
        </w:rPr>
        <w:t>日</w:t>
      </w:r>
      <w:r>
        <w:rPr>
          <w:rFonts w:hint="default" w:ascii="宋体" w:hAnsi="宋体" w:eastAsia="宋体" w:cs="宋体"/>
          <w:kern w:val="2"/>
          <w:sz w:val="24"/>
          <w:szCs w:val="24"/>
          <w:lang w:val="en-US" w:eastAsia="zh-CN" w:bidi="ar-SA"/>
        </w:rPr>
        <w:t>~202</w:t>
      </w:r>
      <w:r>
        <w:rPr>
          <w:rFonts w:hint="eastAsia" w:ascii="宋体" w:hAnsi="宋体" w:cs="宋体"/>
          <w:kern w:val="2"/>
          <w:sz w:val="24"/>
          <w:szCs w:val="24"/>
          <w:lang w:val="en-US" w:eastAsia="zh-CN" w:bidi="ar-SA"/>
        </w:rPr>
        <w:t>5</w:t>
      </w:r>
      <w:r>
        <w:rPr>
          <w:rFonts w:hint="eastAsia" w:ascii="宋体" w:hAnsi="宋体" w:eastAsia="宋体" w:cs="宋体"/>
          <w:kern w:val="2"/>
          <w:sz w:val="24"/>
          <w:szCs w:val="24"/>
          <w:lang w:val="en-US" w:eastAsia="zh-CN" w:bidi="ar-SA"/>
        </w:rPr>
        <w:t>年</w:t>
      </w:r>
      <w:r>
        <w:rPr>
          <w:rFonts w:hint="default" w:ascii="宋体" w:hAnsi="宋体" w:eastAsia="宋体" w:cs="宋体"/>
          <w:kern w:val="2"/>
          <w:sz w:val="24"/>
          <w:szCs w:val="24"/>
          <w:lang w:val="en-US" w:eastAsia="zh-CN" w:bidi="ar-SA"/>
        </w:rPr>
        <w:t>0</w:t>
      </w:r>
      <w:r>
        <w:rPr>
          <w:rFonts w:hint="eastAsia" w:ascii="宋体" w:hAnsi="宋体" w:cs="宋体"/>
          <w:kern w:val="2"/>
          <w:sz w:val="24"/>
          <w:szCs w:val="24"/>
          <w:lang w:val="en-US" w:eastAsia="zh-CN" w:bidi="ar-SA"/>
        </w:rPr>
        <w:t>2</w:t>
      </w:r>
      <w:r>
        <w:rPr>
          <w:rFonts w:hint="eastAsia" w:ascii="宋体" w:hAnsi="宋体" w:eastAsia="宋体" w:cs="宋体"/>
          <w:kern w:val="2"/>
          <w:sz w:val="24"/>
          <w:szCs w:val="24"/>
          <w:lang w:val="en-US" w:eastAsia="zh-CN" w:bidi="ar-SA"/>
        </w:rPr>
        <w:t>月</w:t>
      </w:r>
      <w:r>
        <w:rPr>
          <w:rFonts w:hint="eastAsia" w:ascii="宋体" w:hAnsi="宋体" w:cs="宋体"/>
          <w:kern w:val="2"/>
          <w:sz w:val="24"/>
          <w:szCs w:val="24"/>
          <w:lang w:val="en-US" w:eastAsia="zh-CN" w:bidi="ar-SA"/>
        </w:rPr>
        <w:t>14</w:t>
      </w:r>
      <w:r>
        <w:rPr>
          <w:rFonts w:hint="eastAsia" w:ascii="宋体" w:hAnsi="宋体" w:eastAsia="宋体" w:cs="宋体"/>
          <w:kern w:val="2"/>
          <w:sz w:val="24"/>
          <w:szCs w:val="24"/>
          <w:lang w:val="en-US" w:eastAsia="zh-CN" w:bidi="ar-SA"/>
        </w:rPr>
        <w:t>日开展验收监测工作。本项目年运行</w:t>
      </w:r>
      <w:r>
        <w:rPr>
          <w:rFonts w:hint="default" w:ascii="宋体" w:hAnsi="宋体" w:eastAsia="宋体" w:cs="宋体"/>
          <w:kern w:val="2"/>
          <w:sz w:val="24"/>
          <w:szCs w:val="24"/>
          <w:lang w:val="en-US" w:eastAsia="zh-CN" w:bidi="ar-SA"/>
        </w:rPr>
        <w:t>365</w:t>
      </w:r>
      <w:r>
        <w:rPr>
          <w:rFonts w:hint="eastAsia" w:ascii="宋体" w:hAnsi="宋体" w:eastAsia="宋体" w:cs="宋体"/>
          <w:kern w:val="2"/>
          <w:sz w:val="24"/>
          <w:szCs w:val="24"/>
          <w:lang w:val="en-US" w:eastAsia="zh-CN" w:bidi="ar-SA"/>
        </w:rPr>
        <w:t>天，每天工作</w:t>
      </w:r>
      <w:r>
        <w:rPr>
          <w:rFonts w:hint="default" w:ascii="宋体" w:hAnsi="宋体" w:eastAsia="宋体" w:cs="宋体"/>
          <w:kern w:val="2"/>
          <w:sz w:val="24"/>
          <w:szCs w:val="24"/>
          <w:lang w:val="en-US" w:eastAsia="zh-CN" w:bidi="ar-SA"/>
        </w:rPr>
        <w:t>24</w:t>
      </w:r>
      <w:r>
        <w:rPr>
          <w:rFonts w:hint="eastAsia" w:ascii="宋体" w:hAnsi="宋体" w:eastAsia="宋体" w:cs="宋体"/>
          <w:kern w:val="2"/>
          <w:sz w:val="24"/>
          <w:szCs w:val="24"/>
          <w:lang w:val="en-US" w:eastAsia="zh-CN" w:bidi="ar-SA"/>
        </w:rPr>
        <w:t>小时，全年工作时间</w:t>
      </w:r>
      <w:r>
        <w:rPr>
          <w:rFonts w:hint="default" w:ascii="宋体" w:hAnsi="宋体" w:eastAsia="宋体" w:cs="宋体"/>
          <w:kern w:val="2"/>
          <w:sz w:val="24"/>
          <w:szCs w:val="24"/>
          <w:lang w:val="en-US" w:eastAsia="zh-CN" w:bidi="ar-SA"/>
        </w:rPr>
        <w:t>8760</w:t>
      </w:r>
      <w:r>
        <w:rPr>
          <w:rFonts w:hint="eastAsia" w:ascii="宋体" w:hAnsi="宋体" w:eastAsia="宋体" w:cs="宋体"/>
          <w:kern w:val="2"/>
          <w:sz w:val="24"/>
          <w:szCs w:val="24"/>
          <w:lang w:val="en-US" w:eastAsia="zh-CN" w:bidi="ar-SA"/>
        </w:rPr>
        <w:t>小时，根据建设单位提供的信息，本项目验收监测期间企业正常运行。本项目以日处理废水量作为工况调查记录依据，废水处理量来源为当日排水口处</w:t>
      </w:r>
      <w:r>
        <w:rPr>
          <w:rFonts w:hint="eastAsia" w:ascii="宋体" w:hAnsi="宋体" w:cs="宋体"/>
          <w:kern w:val="2"/>
          <w:sz w:val="24"/>
          <w:szCs w:val="24"/>
          <w:lang w:val="en-US" w:eastAsia="zh-CN" w:bidi="ar-SA"/>
        </w:rPr>
        <w:t>流量计</w:t>
      </w:r>
      <w:r>
        <w:rPr>
          <w:rFonts w:hint="eastAsia" w:ascii="宋体" w:hAnsi="宋体" w:eastAsia="宋体" w:cs="宋体"/>
          <w:kern w:val="2"/>
          <w:sz w:val="24"/>
          <w:szCs w:val="24"/>
          <w:lang w:val="en-US" w:eastAsia="zh-CN" w:bidi="ar-SA"/>
        </w:rPr>
        <w:t>。监测期间项目工况统计情况见表</w:t>
      </w:r>
      <w:r>
        <w:rPr>
          <w:rFonts w:hint="default" w:ascii="宋体" w:hAnsi="宋体" w:eastAsia="宋体" w:cs="宋体"/>
          <w:kern w:val="2"/>
          <w:sz w:val="24"/>
          <w:szCs w:val="24"/>
          <w:lang w:val="en-US" w:eastAsia="zh-CN" w:bidi="ar-SA"/>
        </w:rPr>
        <w:t>9</w:t>
      </w:r>
      <w:r>
        <w:rPr>
          <w:rFonts w:hint="eastAsia" w:ascii="宋体" w:hAnsi="宋体" w:cs="宋体"/>
          <w:kern w:val="2"/>
          <w:sz w:val="24"/>
          <w:szCs w:val="24"/>
          <w:lang w:val="en-US" w:eastAsia="zh-CN" w:bidi="ar-SA"/>
        </w:rPr>
        <w:t>.1</w:t>
      </w:r>
      <w:r>
        <w:rPr>
          <w:rFonts w:hint="default" w:ascii="宋体" w:hAnsi="宋体" w:eastAsia="宋体" w:cs="宋体"/>
          <w:kern w:val="2"/>
          <w:sz w:val="24"/>
          <w:szCs w:val="24"/>
          <w:lang w:val="en-US" w:eastAsia="zh-CN" w:bidi="ar-SA"/>
        </w:rPr>
        <w:t>-1</w:t>
      </w:r>
      <w:r>
        <w:rPr>
          <w:rFonts w:hint="eastAsia" w:ascii="宋体" w:hAnsi="宋体" w:eastAsia="宋体" w:cs="宋体"/>
          <w:kern w:val="2"/>
          <w:sz w:val="24"/>
          <w:szCs w:val="24"/>
          <w:lang w:val="en-US" w:eastAsia="zh-CN" w:bidi="ar-SA"/>
        </w:rPr>
        <w:t>。</w:t>
      </w:r>
    </w:p>
    <w:p w14:paraId="6E50AC43">
      <w:pPr>
        <w:pStyle w:val="35"/>
        <w:bidi w:val="0"/>
        <w:rPr>
          <w:rFonts w:hint="eastAsia" w:ascii="宋体" w:hAnsi="宋体" w:eastAsia="宋体" w:cs="宋体"/>
        </w:rPr>
      </w:pPr>
      <w:r>
        <w:rPr>
          <w:rFonts w:hint="eastAsia" w:ascii="宋体" w:hAnsi="宋体" w:eastAsia="宋体" w:cs="宋体"/>
        </w:rPr>
        <w:t>表</w:t>
      </w:r>
      <w:r>
        <w:rPr>
          <w:rFonts w:hint="eastAsia" w:ascii="宋体" w:hAnsi="宋体" w:eastAsia="宋体" w:cs="宋体"/>
          <w:lang w:val="en-US" w:eastAsia="zh-CN"/>
        </w:rPr>
        <w:t>9</w:t>
      </w:r>
      <w:r>
        <w:rPr>
          <w:rFonts w:hint="eastAsia" w:cs="宋体"/>
          <w:lang w:val="en-US" w:eastAsia="zh-CN"/>
        </w:rPr>
        <w:t>.1</w:t>
      </w:r>
      <w:r>
        <w:rPr>
          <w:rFonts w:hint="eastAsia" w:ascii="宋体" w:hAnsi="宋体" w:eastAsia="宋体" w:cs="宋体"/>
        </w:rPr>
        <w:t>-1</w:t>
      </w:r>
      <w:r>
        <w:rPr>
          <w:rFonts w:hint="eastAsia" w:ascii="宋体" w:hAnsi="宋体" w:eastAsia="宋体" w:cs="宋体"/>
          <w:lang w:val="en-US" w:eastAsia="zh-CN"/>
        </w:rPr>
        <w:t xml:space="preserve">  </w:t>
      </w:r>
      <w:r>
        <w:rPr>
          <w:rFonts w:hint="eastAsia" w:ascii="宋体" w:hAnsi="宋体" w:eastAsia="宋体" w:cs="宋体"/>
        </w:rPr>
        <w:t>工况验收核查表</w:t>
      </w:r>
    </w:p>
    <w:tbl>
      <w:tblPr>
        <w:tblStyle w:val="20"/>
        <w:tblW w:w="498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7"/>
        <w:gridCol w:w="1496"/>
        <w:gridCol w:w="1625"/>
        <w:gridCol w:w="1715"/>
        <w:gridCol w:w="1860"/>
      </w:tblGrid>
      <w:tr w14:paraId="4AC173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2" w:type="pct"/>
            <w:tcBorders>
              <w:tl2br w:val="nil"/>
              <w:tr2bl w:val="nil"/>
            </w:tcBorders>
            <w:noWrap w:val="0"/>
            <w:vAlign w:val="center"/>
          </w:tcPr>
          <w:p w14:paraId="7696CF03">
            <w:pPr>
              <w:pStyle w:val="34"/>
              <w:widowControl w:val="0"/>
              <w:bidi w:val="0"/>
              <w:rPr>
                <w:rFonts w:hint="eastAsia" w:ascii="宋体" w:hAnsi="宋体" w:eastAsia="宋体" w:cs="宋体"/>
                <w:b/>
                <w:bCs/>
                <w:color w:val="000000"/>
              </w:rPr>
            </w:pPr>
            <w:r>
              <w:rPr>
                <w:rFonts w:hint="eastAsia" w:ascii="宋体" w:hAnsi="宋体" w:eastAsia="宋体" w:cs="宋体"/>
                <w:b/>
                <w:bCs/>
                <w:color w:val="000000"/>
              </w:rPr>
              <w:t>产品名称</w:t>
            </w:r>
          </w:p>
        </w:tc>
        <w:tc>
          <w:tcPr>
            <w:tcW w:w="879" w:type="pct"/>
            <w:tcBorders>
              <w:tl2br w:val="nil"/>
              <w:tr2bl w:val="nil"/>
            </w:tcBorders>
            <w:noWrap w:val="0"/>
            <w:vAlign w:val="center"/>
          </w:tcPr>
          <w:p w14:paraId="4A40AADB">
            <w:pPr>
              <w:pStyle w:val="34"/>
              <w:widowControl w:val="0"/>
              <w:bidi w:val="0"/>
              <w:rPr>
                <w:rFonts w:hint="eastAsia" w:ascii="宋体" w:hAnsi="宋体" w:eastAsia="宋体" w:cs="宋体"/>
                <w:b/>
                <w:bCs/>
                <w:color w:val="000000"/>
              </w:rPr>
            </w:pPr>
            <w:r>
              <w:rPr>
                <w:rFonts w:hint="eastAsia" w:ascii="宋体" w:hAnsi="宋体" w:eastAsia="宋体" w:cs="宋体"/>
                <w:b/>
                <w:bCs/>
                <w:color w:val="000000"/>
              </w:rPr>
              <w:t>监测日期</w:t>
            </w:r>
          </w:p>
        </w:tc>
        <w:tc>
          <w:tcPr>
            <w:tcW w:w="955" w:type="pct"/>
            <w:tcBorders>
              <w:tl2br w:val="nil"/>
              <w:tr2bl w:val="nil"/>
            </w:tcBorders>
            <w:noWrap w:val="0"/>
            <w:vAlign w:val="center"/>
          </w:tcPr>
          <w:p w14:paraId="0518436C">
            <w:pPr>
              <w:pStyle w:val="34"/>
              <w:widowControl w:val="0"/>
              <w:bidi w:val="0"/>
              <w:rPr>
                <w:rFonts w:hint="eastAsia" w:ascii="宋体" w:hAnsi="宋体" w:eastAsia="宋体" w:cs="宋体"/>
                <w:b/>
                <w:bCs/>
                <w:color w:val="000000"/>
              </w:rPr>
            </w:pPr>
            <w:r>
              <w:rPr>
                <w:rFonts w:hint="eastAsia" w:ascii="宋体" w:hAnsi="宋体" w:eastAsia="宋体" w:cs="宋体"/>
                <w:b/>
                <w:bCs/>
                <w:color w:val="000000"/>
              </w:rPr>
              <w:t>设计生产规模</w:t>
            </w:r>
          </w:p>
        </w:tc>
        <w:tc>
          <w:tcPr>
            <w:tcW w:w="1008" w:type="pct"/>
            <w:tcBorders>
              <w:tl2br w:val="nil"/>
              <w:tr2bl w:val="nil"/>
            </w:tcBorders>
            <w:noWrap w:val="0"/>
            <w:vAlign w:val="center"/>
          </w:tcPr>
          <w:p w14:paraId="38C94A6A">
            <w:pPr>
              <w:pStyle w:val="34"/>
              <w:widowControl w:val="0"/>
              <w:bidi w:val="0"/>
              <w:rPr>
                <w:rFonts w:hint="eastAsia" w:ascii="宋体" w:hAnsi="宋体" w:eastAsia="宋体" w:cs="宋体"/>
                <w:b/>
                <w:bCs/>
                <w:color w:val="000000"/>
              </w:rPr>
            </w:pPr>
            <w:r>
              <w:rPr>
                <w:rFonts w:hint="eastAsia" w:ascii="宋体" w:hAnsi="宋体" w:eastAsia="宋体" w:cs="宋体"/>
                <w:b/>
                <w:bCs/>
                <w:color w:val="000000"/>
              </w:rPr>
              <w:t>监测期生产规模</w:t>
            </w:r>
          </w:p>
        </w:tc>
        <w:tc>
          <w:tcPr>
            <w:tcW w:w="1093" w:type="pct"/>
            <w:tcBorders>
              <w:tl2br w:val="nil"/>
              <w:tr2bl w:val="nil"/>
            </w:tcBorders>
            <w:noWrap w:val="0"/>
            <w:vAlign w:val="center"/>
          </w:tcPr>
          <w:p w14:paraId="62CAA9C9">
            <w:pPr>
              <w:pStyle w:val="34"/>
              <w:widowControl w:val="0"/>
              <w:bidi w:val="0"/>
              <w:rPr>
                <w:rFonts w:hint="eastAsia" w:ascii="宋体" w:hAnsi="宋体" w:eastAsia="宋体" w:cs="宋体"/>
                <w:b/>
                <w:bCs/>
                <w:color w:val="000000"/>
              </w:rPr>
            </w:pPr>
            <w:r>
              <w:rPr>
                <w:rFonts w:hint="eastAsia" w:ascii="宋体" w:hAnsi="宋体" w:eastAsia="宋体" w:cs="宋体"/>
                <w:b/>
                <w:bCs/>
                <w:color w:val="000000"/>
              </w:rPr>
              <w:t>实际生产负荷</w:t>
            </w:r>
          </w:p>
        </w:tc>
      </w:tr>
      <w:tr w14:paraId="79B2ED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2" w:type="pct"/>
            <w:vMerge w:val="restart"/>
            <w:tcBorders>
              <w:tl2br w:val="nil"/>
              <w:tr2bl w:val="nil"/>
            </w:tcBorders>
            <w:noWrap w:val="0"/>
            <w:vAlign w:val="center"/>
          </w:tcPr>
          <w:p w14:paraId="1D9062C4">
            <w:pPr>
              <w:keepNext w:val="0"/>
              <w:keepLines w:val="0"/>
              <w:widowControl/>
              <w:suppressLineNumbers w:val="0"/>
              <w:ind w:left="0" w:leftChars="0" w:firstLine="0" w:firstLineChars="0"/>
              <w:jc w:val="center"/>
              <w:rPr>
                <w:rFonts w:hint="default" w:ascii="宋体" w:hAnsi="宋体" w:eastAsia="宋体" w:cs="宋体"/>
                <w:color w:val="000000"/>
                <w:sz w:val="21"/>
                <w:szCs w:val="21"/>
                <w:lang w:val="en-US" w:eastAsia="zh-CN"/>
              </w:rPr>
            </w:pPr>
            <w:r>
              <w:rPr>
                <w:rFonts w:hint="eastAsia" w:ascii="宋体" w:hAnsi="宋体" w:cs="宋体"/>
                <w:spacing w:val="-2"/>
                <w:kern w:val="0"/>
                <w:sz w:val="21"/>
                <w:szCs w:val="21"/>
                <w:lang w:val="en-US" w:eastAsia="zh-CN"/>
              </w:rPr>
              <w:t>废水处理</w:t>
            </w:r>
          </w:p>
        </w:tc>
        <w:tc>
          <w:tcPr>
            <w:tcW w:w="1579" w:type="dxa"/>
            <w:tcBorders>
              <w:tl2br w:val="nil"/>
              <w:tr2bl w:val="nil"/>
            </w:tcBorders>
            <w:noWrap w:val="0"/>
            <w:vAlign w:val="center"/>
          </w:tcPr>
          <w:p w14:paraId="5AE876D8">
            <w:pPr>
              <w:pStyle w:val="34"/>
              <w:widowControl w:val="0"/>
              <w:spacing w:before="0" w:after="0"/>
              <w:jc w:val="center"/>
              <w:rPr>
                <w:rFonts w:hint="default" w:ascii="宋体" w:hAnsi="宋体" w:eastAsia="宋体" w:cs="宋体"/>
                <w:color w:val="000000"/>
                <w:lang w:val="en-US" w:eastAsia="zh-CN"/>
              </w:rPr>
            </w:pPr>
            <w:r>
              <w:rPr>
                <w:rFonts w:hint="eastAsia" w:ascii="宋体" w:hAnsi="宋体" w:eastAsia="宋体" w:cs="宋体"/>
                <w:color w:val="000000"/>
                <w:sz w:val="21"/>
                <w:szCs w:val="21"/>
                <w:lang w:val="en-US" w:eastAsia="zh-CN"/>
              </w:rPr>
              <w:t>2025.02.1</w:t>
            </w:r>
            <w:r>
              <w:rPr>
                <w:rFonts w:hint="eastAsia" w:hAnsi="宋体" w:cs="宋体"/>
                <w:color w:val="000000"/>
                <w:sz w:val="21"/>
                <w:szCs w:val="21"/>
                <w:lang w:val="en-US" w:eastAsia="zh-CN"/>
              </w:rPr>
              <w:t>3</w:t>
            </w:r>
          </w:p>
        </w:tc>
        <w:tc>
          <w:tcPr>
            <w:tcW w:w="955" w:type="pct"/>
            <w:vMerge w:val="restart"/>
            <w:tcBorders>
              <w:tl2br w:val="nil"/>
              <w:tr2bl w:val="nil"/>
            </w:tcBorders>
            <w:noWrap w:val="0"/>
            <w:vAlign w:val="center"/>
          </w:tcPr>
          <w:p w14:paraId="121C023A">
            <w:pPr>
              <w:pStyle w:val="34"/>
              <w:widowControl w:val="0"/>
              <w:bidi w:val="0"/>
              <w:rPr>
                <w:rFonts w:hint="eastAsia" w:ascii="宋体" w:hAnsi="宋体" w:eastAsia="宋体" w:cs="宋体"/>
                <w:color w:val="000000"/>
              </w:rPr>
            </w:pPr>
            <w:r>
              <w:rPr>
                <w:rFonts w:hint="eastAsia" w:hAnsi="宋体" w:cs="宋体"/>
                <w:color w:val="000000"/>
                <w:lang w:val="en-US" w:eastAsia="zh-CN"/>
              </w:rPr>
              <w:t>5000</w:t>
            </w:r>
            <w:r>
              <w:rPr>
                <w:rFonts w:hint="eastAsia" w:ascii="宋体" w:hAnsi="宋体" w:eastAsia="宋体" w:cs="宋体"/>
                <w:color w:val="000000"/>
                <w:lang w:val="en-US" w:eastAsia="zh-CN"/>
              </w:rPr>
              <w:t>t</w:t>
            </w:r>
            <w:r>
              <w:rPr>
                <w:rFonts w:hint="eastAsia" w:ascii="宋体" w:hAnsi="宋体" w:eastAsia="宋体" w:cs="宋体"/>
                <w:color w:val="000000"/>
              </w:rPr>
              <w:t>/d</w:t>
            </w:r>
          </w:p>
        </w:tc>
        <w:tc>
          <w:tcPr>
            <w:tcW w:w="1008" w:type="pct"/>
            <w:tcBorders>
              <w:tl2br w:val="nil"/>
              <w:tr2bl w:val="nil"/>
            </w:tcBorders>
            <w:noWrap w:val="0"/>
            <w:vAlign w:val="center"/>
          </w:tcPr>
          <w:p w14:paraId="50BFAE13">
            <w:pPr>
              <w:pStyle w:val="34"/>
              <w:widowControl w:val="0"/>
              <w:bidi w:val="0"/>
              <w:rPr>
                <w:rFonts w:hint="eastAsia" w:ascii="宋体" w:hAnsi="宋体" w:eastAsia="宋体" w:cs="宋体"/>
                <w:color w:val="000000"/>
              </w:rPr>
            </w:pPr>
            <w:r>
              <w:rPr>
                <w:rFonts w:hint="eastAsia" w:hAnsi="宋体" w:cs="宋体"/>
                <w:color w:val="000000"/>
                <w:lang w:val="en-US" w:eastAsia="zh-CN"/>
              </w:rPr>
              <w:t>3754.8</w:t>
            </w:r>
            <w:r>
              <w:rPr>
                <w:rFonts w:hint="eastAsia" w:ascii="宋体" w:hAnsi="宋体" w:eastAsia="宋体" w:cs="宋体"/>
                <w:color w:val="000000"/>
                <w:lang w:val="en-US" w:eastAsia="zh-CN"/>
              </w:rPr>
              <w:t>t</w:t>
            </w:r>
            <w:r>
              <w:rPr>
                <w:rFonts w:hint="eastAsia" w:ascii="宋体" w:hAnsi="宋体" w:eastAsia="宋体" w:cs="宋体"/>
                <w:color w:val="000000"/>
              </w:rPr>
              <w:t>/d</w:t>
            </w:r>
          </w:p>
        </w:tc>
        <w:tc>
          <w:tcPr>
            <w:tcW w:w="1093" w:type="pct"/>
            <w:tcBorders>
              <w:tl2br w:val="nil"/>
              <w:tr2bl w:val="nil"/>
            </w:tcBorders>
            <w:noWrap w:val="0"/>
            <w:vAlign w:val="center"/>
          </w:tcPr>
          <w:p w14:paraId="24A4C073">
            <w:pPr>
              <w:pStyle w:val="34"/>
              <w:widowControl w:val="0"/>
              <w:bidi w:val="0"/>
              <w:rPr>
                <w:rFonts w:hint="eastAsia" w:ascii="宋体" w:hAnsi="宋体" w:eastAsia="宋体" w:cs="宋体"/>
                <w:color w:val="000000"/>
                <w:lang w:val="en-US"/>
              </w:rPr>
            </w:pPr>
            <w:r>
              <w:rPr>
                <w:rFonts w:hint="eastAsia" w:ascii="宋体" w:hAnsi="宋体" w:eastAsia="宋体" w:cs="宋体"/>
                <w:color w:val="000000"/>
                <w:lang w:val="en-US" w:eastAsia="zh-CN"/>
              </w:rPr>
              <w:t>75.09%</w:t>
            </w:r>
          </w:p>
        </w:tc>
      </w:tr>
      <w:tr w14:paraId="448EB8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2" w:type="pct"/>
            <w:vMerge w:val="continue"/>
            <w:tcBorders>
              <w:tl2br w:val="nil"/>
              <w:tr2bl w:val="nil"/>
            </w:tcBorders>
            <w:noWrap w:val="0"/>
            <w:vAlign w:val="center"/>
          </w:tcPr>
          <w:p w14:paraId="2EC92497">
            <w:pPr>
              <w:keepNext w:val="0"/>
              <w:keepLines w:val="0"/>
              <w:widowControl/>
              <w:suppressLineNumbers w:val="0"/>
              <w:ind w:firstLine="420" w:firstLineChars="200"/>
              <w:jc w:val="center"/>
              <w:rPr>
                <w:rFonts w:hint="eastAsia" w:ascii="宋体" w:hAnsi="宋体" w:eastAsia="宋体" w:cs="宋体"/>
                <w:color w:val="000000"/>
                <w:kern w:val="2"/>
                <w:sz w:val="21"/>
                <w:szCs w:val="21"/>
                <w:highlight w:val="none"/>
                <w:lang w:val="en-US" w:eastAsia="zh-CN" w:bidi="ar-SA"/>
              </w:rPr>
            </w:pPr>
          </w:p>
        </w:tc>
        <w:tc>
          <w:tcPr>
            <w:tcW w:w="1579" w:type="dxa"/>
            <w:tcBorders>
              <w:tl2br w:val="nil"/>
              <w:tr2bl w:val="nil"/>
            </w:tcBorders>
            <w:noWrap w:val="0"/>
            <w:vAlign w:val="center"/>
          </w:tcPr>
          <w:p w14:paraId="07EFABA0">
            <w:pPr>
              <w:pStyle w:val="34"/>
              <w:widowControl w:val="0"/>
              <w:spacing w:before="0" w:after="0"/>
              <w:jc w:val="center"/>
              <w:rPr>
                <w:rFonts w:hint="default" w:ascii="宋体" w:hAnsi="宋体" w:eastAsia="宋体" w:cs="宋体"/>
                <w:color w:val="000000"/>
                <w:lang w:val="en-US"/>
              </w:rPr>
            </w:pPr>
            <w:r>
              <w:rPr>
                <w:rFonts w:hint="eastAsia" w:ascii="宋体" w:hAnsi="宋体" w:eastAsia="宋体" w:cs="宋体"/>
                <w:color w:val="000000"/>
                <w:sz w:val="21"/>
                <w:szCs w:val="21"/>
                <w:lang w:val="en-US" w:eastAsia="zh-CN"/>
              </w:rPr>
              <w:t>2025.02.1</w:t>
            </w:r>
            <w:r>
              <w:rPr>
                <w:rFonts w:hint="eastAsia" w:hAnsi="宋体" w:cs="宋体"/>
                <w:color w:val="000000"/>
                <w:sz w:val="21"/>
                <w:szCs w:val="21"/>
                <w:lang w:val="en-US" w:eastAsia="zh-CN"/>
              </w:rPr>
              <w:t>4</w:t>
            </w:r>
          </w:p>
        </w:tc>
        <w:tc>
          <w:tcPr>
            <w:tcW w:w="955" w:type="pct"/>
            <w:vMerge w:val="continue"/>
            <w:tcBorders>
              <w:tl2br w:val="nil"/>
              <w:tr2bl w:val="nil"/>
            </w:tcBorders>
            <w:noWrap w:val="0"/>
            <w:vAlign w:val="center"/>
          </w:tcPr>
          <w:p w14:paraId="69DDD07B">
            <w:pPr>
              <w:pStyle w:val="34"/>
              <w:widowControl w:val="0"/>
              <w:bidi w:val="0"/>
              <w:rPr>
                <w:rFonts w:hint="eastAsia" w:ascii="宋体" w:hAnsi="宋体" w:eastAsia="宋体" w:cs="宋体"/>
                <w:color w:val="000000"/>
              </w:rPr>
            </w:pPr>
          </w:p>
        </w:tc>
        <w:tc>
          <w:tcPr>
            <w:tcW w:w="1008" w:type="pct"/>
            <w:tcBorders>
              <w:tl2br w:val="nil"/>
              <w:tr2bl w:val="nil"/>
            </w:tcBorders>
            <w:noWrap w:val="0"/>
            <w:vAlign w:val="center"/>
          </w:tcPr>
          <w:p w14:paraId="3D4689FB">
            <w:pPr>
              <w:pStyle w:val="34"/>
              <w:widowControl w:val="0"/>
              <w:bidi w:val="0"/>
              <w:rPr>
                <w:rFonts w:hint="default" w:ascii="宋体" w:hAnsi="宋体" w:eastAsia="宋体" w:cs="宋体"/>
                <w:color w:val="000000"/>
                <w:lang w:val="en-US"/>
              </w:rPr>
            </w:pPr>
            <w:r>
              <w:rPr>
                <w:rFonts w:hint="eastAsia" w:hAnsi="宋体" w:cs="宋体"/>
                <w:color w:val="000000"/>
                <w:lang w:val="en-US" w:eastAsia="zh-CN"/>
              </w:rPr>
              <w:t>3825.9</w:t>
            </w:r>
            <w:r>
              <w:rPr>
                <w:rFonts w:hint="eastAsia" w:ascii="宋体" w:hAnsi="宋体" w:eastAsia="宋体" w:cs="宋体"/>
                <w:color w:val="000000"/>
                <w:lang w:val="en-US" w:eastAsia="zh-CN"/>
              </w:rPr>
              <w:t>t</w:t>
            </w:r>
            <w:r>
              <w:rPr>
                <w:rFonts w:hint="eastAsia" w:ascii="宋体" w:hAnsi="宋体" w:eastAsia="宋体" w:cs="宋体"/>
                <w:color w:val="000000"/>
              </w:rPr>
              <w:t>/d</w:t>
            </w:r>
          </w:p>
        </w:tc>
        <w:tc>
          <w:tcPr>
            <w:tcW w:w="1093" w:type="pct"/>
            <w:tcBorders>
              <w:tl2br w:val="nil"/>
              <w:tr2bl w:val="nil"/>
            </w:tcBorders>
            <w:noWrap w:val="0"/>
            <w:vAlign w:val="center"/>
          </w:tcPr>
          <w:p w14:paraId="7F9DB7AE">
            <w:pPr>
              <w:pStyle w:val="34"/>
              <w:widowControl w:val="0"/>
              <w:bidi w:val="0"/>
              <w:rPr>
                <w:rFonts w:hint="eastAsia" w:ascii="宋体" w:hAnsi="宋体" w:eastAsia="宋体" w:cs="宋体"/>
                <w:color w:val="000000"/>
              </w:rPr>
            </w:pPr>
            <w:r>
              <w:rPr>
                <w:rFonts w:hint="eastAsia" w:hAnsi="宋体" w:cs="宋体"/>
                <w:color w:val="000000"/>
                <w:lang w:val="en-US" w:eastAsia="zh-CN"/>
              </w:rPr>
              <w:t>76.52</w:t>
            </w:r>
            <w:r>
              <w:rPr>
                <w:rFonts w:hint="eastAsia" w:ascii="宋体" w:hAnsi="宋体" w:eastAsia="宋体" w:cs="宋体"/>
                <w:color w:val="000000"/>
              </w:rPr>
              <w:t>%</w:t>
            </w:r>
          </w:p>
        </w:tc>
      </w:tr>
    </w:tbl>
    <w:p w14:paraId="7F6A97FB">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1"/>
        <w:rPr>
          <w:rFonts w:hint="eastAsia" w:ascii="宋体" w:hAnsi="宋体" w:eastAsia="宋体" w:cs="宋体"/>
          <w:b/>
          <w:bCs/>
          <w:color w:val="000000" w:themeColor="text1"/>
          <w:kern w:val="0"/>
          <w:sz w:val="28"/>
          <w:szCs w:val="28"/>
          <w:lang w:val="en-US" w:eastAsia="zh-CN" w:bidi="ar"/>
          <w14:textFill>
            <w14:solidFill>
              <w14:schemeClr w14:val="tx1"/>
            </w14:solidFill>
          </w14:textFill>
        </w:rPr>
      </w:pPr>
      <w:bookmarkStart w:id="67" w:name="_Toc23968"/>
      <w:r>
        <w:rPr>
          <w:rFonts w:hint="eastAsia" w:ascii="宋体" w:hAnsi="宋体" w:eastAsia="宋体" w:cs="宋体"/>
          <w:b/>
          <w:bCs/>
          <w:color w:val="000000" w:themeColor="text1"/>
          <w:kern w:val="0"/>
          <w:sz w:val="28"/>
          <w:szCs w:val="28"/>
          <w:lang w:val="en-US" w:eastAsia="zh-CN" w:bidi="ar"/>
          <w14:textFill>
            <w14:solidFill>
              <w14:schemeClr w14:val="tx1"/>
            </w14:solidFill>
          </w14:textFill>
        </w:rPr>
        <w:t>9.2  废气监测结果及评价</w:t>
      </w:r>
      <w:bookmarkEnd w:id="67"/>
    </w:p>
    <w:p w14:paraId="29D89852">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2"/>
        <w:rPr>
          <w:rFonts w:hint="eastAsia" w:ascii="宋体" w:hAnsi="宋体" w:eastAsia="宋体" w:cs="宋体"/>
          <w:color w:val="000000" w:themeColor="text1"/>
          <w:sz w:val="24"/>
          <w:szCs w:val="24"/>
          <w14:textFill>
            <w14:solidFill>
              <w14:schemeClr w14:val="tx1"/>
            </w14:solidFill>
          </w14:textFill>
        </w:rPr>
      </w:pPr>
      <w:bookmarkStart w:id="68" w:name="_Toc3372"/>
      <w:r>
        <w:rPr>
          <w:rFonts w:hint="eastAsia" w:ascii="宋体" w:hAnsi="宋体" w:eastAsia="宋体" w:cs="宋体"/>
          <w:b/>
          <w:bCs/>
          <w:color w:val="000000" w:themeColor="text1"/>
          <w:kern w:val="0"/>
          <w:sz w:val="24"/>
          <w:szCs w:val="24"/>
          <w:lang w:val="en-US" w:eastAsia="zh-CN" w:bidi="ar"/>
          <w14:textFill>
            <w14:solidFill>
              <w14:schemeClr w14:val="tx1"/>
            </w14:solidFill>
          </w14:textFill>
        </w:rPr>
        <w:t>9.2.1  有组织废气监测结果评价</w:t>
      </w:r>
      <w:bookmarkEnd w:id="68"/>
    </w:p>
    <w:p w14:paraId="707F695E">
      <w:pPr>
        <w:pStyle w:val="9"/>
        <w:keepNext w:val="0"/>
        <w:keepLines w:val="0"/>
        <w:pageBreakBefore w:val="0"/>
        <w:widowControl w:val="0"/>
        <w:kinsoku/>
        <w:wordWrap/>
        <w:overflowPunct/>
        <w:topLinePunct w:val="0"/>
        <w:autoSpaceDE/>
        <w:autoSpaceDN/>
        <w:bidi w:val="0"/>
        <w:adjustRightInd/>
        <w:snapToGrid w:val="0"/>
        <w:spacing w:after="0" w:line="360" w:lineRule="auto"/>
        <w:ind w:left="0" w:leftChars="0" w:firstLine="480" w:firstLineChars="200"/>
        <w:jc w:val="both"/>
        <w:textAlignment w:val="auto"/>
        <w:outlineLvl w:val="9"/>
        <w:rPr>
          <w:rFonts w:hint="eastAsia" w:ascii="宋体" w:hAnsi="宋体" w:eastAsia="宋体" w:cs="宋体"/>
          <w:color w:val="FF0000"/>
          <w:sz w:val="24"/>
          <w:lang w:val="en-US" w:eastAsia="zh-CN"/>
        </w:rPr>
        <w:sectPr>
          <w:pgSz w:w="11906" w:h="16838"/>
          <w:pgMar w:top="1440" w:right="1800" w:bottom="1440" w:left="1800" w:header="850" w:footer="1020" w:gutter="0"/>
          <w:pgBorders w:offsetFrom="page">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eastAsia="宋体" w:cs="宋体"/>
          <w:color w:val="000000" w:themeColor="text1"/>
          <w:sz w:val="24"/>
          <w14:textFill>
            <w14:solidFill>
              <w14:schemeClr w14:val="tx1"/>
            </w14:solidFill>
          </w14:textFill>
        </w:rPr>
        <w:t>项目</w:t>
      </w:r>
      <w:r>
        <w:rPr>
          <w:rFonts w:hint="eastAsia" w:ascii="宋体" w:hAnsi="宋体" w:eastAsia="宋体" w:cs="宋体"/>
          <w:color w:val="000000" w:themeColor="text1"/>
          <w:sz w:val="24"/>
          <w:lang w:val="en-US" w:eastAsia="zh-CN"/>
          <w14:textFill>
            <w14:solidFill>
              <w14:schemeClr w14:val="tx1"/>
            </w14:solidFill>
          </w14:textFill>
        </w:rPr>
        <w:t>有</w:t>
      </w:r>
      <w:r>
        <w:rPr>
          <w:rFonts w:hint="eastAsia" w:ascii="宋体" w:hAnsi="宋体" w:eastAsia="宋体" w:cs="宋体"/>
          <w:color w:val="000000" w:themeColor="text1"/>
          <w:sz w:val="24"/>
          <w14:textFill>
            <w14:solidFill>
              <w14:schemeClr w14:val="tx1"/>
            </w14:solidFill>
          </w14:textFill>
        </w:rPr>
        <w:t>组织废气监测结果见表</w:t>
      </w:r>
      <w:r>
        <w:rPr>
          <w:rFonts w:hint="eastAsia" w:ascii="宋体" w:hAnsi="宋体" w:eastAsia="宋体" w:cs="宋体"/>
          <w:color w:val="000000" w:themeColor="text1"/>
          <w:sz w:val="24"/>
          <w:lang w:val="en-US" w:eastAsia="zh-CN"/>
          <w14:textFill>
            <w14:solidFill>
              <w14:schemeClr w14:val="tx1"/>
            </w14:solidFill>
          </w14:textFill>
        </w:rPr>
        <w:t>9</w:t>
      </w:r>
      <w:r>
        <w:rPr>
          <w:rFonts w:hint="eastAsia" w:ascii="宋体" w:hAnsi="宋体" w:cs="宋体"/>
          <w:color w:val="000000" w:themeColor="text1"/>
          <w:sz w:val="24"/>
          <w:lang w:val="en-US" w:eastAsia="zh-CN"/>
          <w14:textFill>
            <w14:solidFill>
              <w14:schemeClr w14:val="tx1"/>
            </w14:solidFill>
          </w14:textFill>
        </w:rPr>
        <w:t>.2-1</w:t>
      </w:r>
      <w:r>
        <w:rPr>
          <w:rFonts w:hint="eastAsia" w:ascii="宋体" w:hAnsi="宋体" w:eastAsia="宋体" w:cs="宋体"/>
          <w:color w:val="FF0000"/>
          <w:sz w:val="24"/>
          <w:lang w:val="en-US" w:eastAsia="zh-CN"/>
        </w:rPr>
        <w:t>。</w:t>
      </w:r>
    </w:p>
    <w:p w14:paraId="69ECFBFE">
      <w:pPr>
        <w:spacing w:line="240" w:lineRule="auto"/>
        <w:ind w:firstLine="482"/>
        <w:contextualSpacing/>
        <w:jc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val="en-US" w:eastAsia="zh-CN" w:bidi="ar"/>
        </w:rPr>
        <w:t>表9.2-1  臭气治理设施排放口有组织排放监测结果统计表</w:t>
      </w:r>
    </w:p>
    <w:tbl>
      <w:tblPr>
        <w:tblStyle w:val="19"/>
        <w:tblW w:w="1455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90"/>
        <w:gridCol w:w="1026"/>
        <w:gridCol w:w="2167"/>
        <w:gridCol w:w="1610"/>
        <w:gridCol w:w="1658"/>
        <w:gridCol w:w="1771"/>
        <w:gridCol w:w="1657"/>
        <w:gridCol w:w="1714"/>
        <w:gridCol w:w="1665"/>
      </w:tblGrid>
      <w:tr w14:paraId="2AD268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483" w:type="dxa"/>
            <w:gridSpan w:val="3"/>
            <w:vMerge w:val="restart"/>
            <w:noWrap w:val="0"/>
            <w:vAlign w:val="center"/>
          </w:tcPr>
          <w:p w14:paraId="0C90A9FC">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采样点位</w:t>
            </w:r>
          </w:p>
        </w:tc>
        <w:tc>
          <w:tcPr>
            <w:tcW w:w="10075" w:type="dxa"/>
            <w:gridSpan w:val="6"/>
            <w:noWrap w:val="0"/>
            <w:vAlign w:val="center"/>
          </w:tcPr>
          <w:p w14:paraId="0DF1AAA1">
            <w:pPr>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臭气治理设施</w:t>
            </w:r>
            <w:r>
              <w:rPr>
                <w:rFonts w:hint="eastAsia" w:ascii="宋体" w:hAnsi="宋体" w:eastAsia="宋体" w:cs="宋体"/>
                <w:color w:val="000000"/>
                <w:kern w:val="0"/>
                <w:sz w:val="21"/>
                <w:szCs w:val="21"/>
              </w:rPr>
              <w:t>排气筒（DA001）</w:t>
            </w:r>
          </w:p>
        </w:tc>
      </w:tr>
      <w:tr w14:paraId="04A668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483" w:type="dxa"/>
            <w:gridSpan w:val="3"/>
            <w:vMerge w:val="continue"/>
            <w:noWrap w:val="0"/>
            <w:vAlign w:val="center"/>
          </w:tcPr>
          <w:p w14:paraId="1DC337C7">
            <w:pPr>
              <w:widowControl/>
              <w:jc w:val="center"/>
              <w:rPr>
                <w:rFonts w:hint="eastAsia" w:ascii="宋体" w:hAnsi="宋体" w:eastAsia="宋体" w:cs="宋体"/>
                <w:color w:val="000000"/>
                <w:kern w:val="0"/>
                <w:sz w:val="21"/>
                <w:szCs w:val="21"/>
              </w:rPr>
            </w:pPr>
          </w:p>
        </w:tc>
        <w:tc>
          <w:tcPr>
            <w:tcW w:w="5039" w:type="dxa"/>
            <w:gridSpan w:val="3"/>
            <w:noWrap w:val="0"/>
            <w:vAlign w:val="center"/>
          </w:tcPr>
          <w:p w14:paraId="30A027ED">
            <w:pPr>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rPr>
              <w:t>进口</w:t>
            </w:r>
          </w:p>
        </w:tc>
        <w:tc>
          <w:tcPr>
            <w:tcW w:w="5036" w:type="dxa"/>
            <w:gridSpan w:val="3"/>
            <w:noWrap w:val="0"/>
            <w:vAlign w:val="center"/>
          </w:tcPr>
          <w:p w14:paraId="5FABAAF5">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rPr>
              <w:t>出口</w:t>
            </w:r>
          </w:p>
        </w:tc>
      </w:tr>
      <w:tr w14:paraId="6C524D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483" w:type="dxa"/>
            <w:gridSpan w:val="3"/>
            <w:noWrap w:val="0"/>
            <w:vAlign w:val="center"/>
          </w:tcPr>
          <w:p w14:paraId="7B212AC6">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截面积</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m</w:t>
            </w:r>
            <w:r>
              <w:rPr>
                <w:rFonts w:hint="eastAsia" w:ascii="宋体" w:hAnsi="宋体" w:eastAsia="宋体" w:cs="宋体"/>
                <w:color w:val="000000"/>
                <w:kern w:val="0"/>
                <w:sz w:val="21"/>
                <w:szCs w:val="21"/>
                <w:vertAlign w:val="superscript"/>
              </w:rPr>
              <w:t>2</w:t>
            </w:r>
            <w:r>
              <w:rPr>
                <w:rFonts w:hint="eastAsia" w:ascii="宋体" w:hAnsi="宋体" w:eastAsia="宋体" w:cs="宋体"/>
                <w:color w:val="000000"/>
                <w:kern w:val="0"/>
                <w:sz w:val="21"/>
                <w:szCs w:val="21"/>
                <w:vertAlign w:val="superscript"/>
                <w:lang w:eastAsia="zh-CN"/>
              </w:rPr>
              <w:t>）</w:t>
            </w:r>
          </w:p>
        </w:tc>
        <w:tc>
          <w:tcPr>
            <w:tcW w:w="5039" w:type="dxa"/>
            <w:gridSpan w:val="3"/>
            <w:noWrap w:val="0"/>
            <w:vAlign w:val="center"/>
          </w:tcPr>
          <w:p w14:paraId="4C15607B">
            <w:pPr>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0.3848</w:t>
            </w:r>
          </w:p>
        </w:tc>
        <w:tc>
          <w:tcPr>
            <w:tcW w:w="5036" w:type="dxa"/>
            <w:gridSpan w:val="3"/>
            <w:noWrap w:val="0"/>
            <w:vAlign w:val="center"/>
          </w:tcPr>
          <w:p w14:paraId="0D697FCC">
            <w:pPr>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0.3848</w:t>
            </w:r>
          </w:p>
        </w:tc>
      </w:tr>
      <w:tr w14:paraId="4B4944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483" w:type="dxa"/>
            <w:gridSpan w:val="3"/>
            <w:noWrap w:val="0"/>
            <w:vAlign w:val="center"/>
          </w:tcPr>
          <w:p w14:paraId="20478A23">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排气筒高度</w:t>
            </w:r>
          </w:p>
        </w:tc>
        <w:tc>
          <w:tcPr>
            <w:tcW w:w="5039" w:type="dxa"/>
            <w:gridSpan w:val="3"/>
            <w:noWrap w:val="0"/>
            <w:vAlign w:val="center"/>
          </w:tcPr>
          <w:p w14:paraId="76D2B783">
            <w:pPr>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rPr>
              <w:t>15m</w:t>
            </w:r>
          </w:p>
        </w:tc>
        <w:tc>
          <w:tcPr>
            <w:tcW w:w="5036" w:type="dxa"/>
            <w:gridSpan w:val="3"/>
            <w:noWrap w:val="0"/>
            <w:vAlign w:val="center"/>
          </w:tcPr>
          <w:p w14:paraId="12E417ED">
            <w:pPr>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rPr>
              <w:t>15m</w:t>
            </w:r>
          </w:p>
        </w:tc>
      </w:tr>
      <w:tr w14:paraId="6A777E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483" w:type="dxa"/>
            <w:gridSpan w:val="3"/>
            <w:noWrap w:val="0"/>
            <w:vAlign w:val="center"/>
          </w:tcPr>
          <w:p w14:paraId="4D6B8918">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运行负荷</w:t>
            </w:r>
          </w:p>
        </w:tc>
        <w:tc>
          <w:tcPr>
            <w:tcW w:w="5039" w:type="dxa"/>
            <w:gridSpan w:val="3"/>
            <w:noWrap w:val="0"/>
            <w:vAlign w:val="center"/>
          </w:tcPr>
          <w:p w14:paraId="7FD88890">
            <w:pPr>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rPr>
              <w:t>＞75%</w:t>
            </w:r>
          </w:p>
        </w:tc>
        <w:tc>
          <w:tcPr>
            <w:tcW w:w="5036" w:type="dxa"/>
            <w:gridSpan w:val="3"/>
            <w:noWrap w:val="0"/>
            <w:vAlign w:val="center"/>
          </w:tcPr>
          <w:p w14:paraId="4B3CDFB3">
            <w:pPr>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rPr>
              <w:t>＞75%</w:t>
            </w:r>
          </w:p>
        </w:tc>
      </w:tr>
      <w:tr w14:paraId="0894F4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483" w:type="dxa"/>
            <w:gridSpan w:val="3"/>
            <w:noWrap w:val="0"/>
            <w:vAlign w:val="center"/>
          </w:tcPr>
          <w:p w14:paraId="298ADEA1">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样品状态</w:t>
            </w:r>
          </w:p>
        </w:tc>
        <w:tc>
          <w:tcPr>
            <w:tcW w:w="5039" w:type="dxa"/>
            <w:gridSpan w:val="3"/>
            <w:noWrap w:val="0"/>
            <w:vAlign w:val="center"/>
          </w:tcPr>
          <w:p w14:paraId="7E556405">
            <w:pPr>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rPr>
              <w:t>包装完好</w:t>
            </w:r>
          </w:p>
        </w:tc>
        <w:tc>
          <w:tcPr>
            <w:tcW w:w="5036" w:type="dxa"/>
            <w:gridSpan w:val="3"/>
            <w:noWrap w:val="0"/>
            <w:vAlign w:val="center"/>
          </w:tcPr>
          <w:p w14:paraId="4F02A4B9">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rPr>
              <w:t>包装完好</w:t>
            </w:r>
          </w:p>
        </w:tc>
      </w:tr>
      <w:tr w14:paraId="4EBF9A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290" w:type="dxa"/>
            <w:vMerge w:val="restart"/>
            <w:noWrap w:val="0"/>
            <w:vAlign w:val="center"/>
          </w:tcPr>
          <w:p w14:paraId="7F40E25A">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采样日期</w:t>
            </w:r>
          </w:p>
        </w:tc>
        <w:tc>
          <w:tcPr>
            <w:tcW w:w="3193" w:type="dxa"/>
            <w:gridSpan w:val="2"/>
            <w:vMerge w:val="restart"/>
            <w:noWrap w:val="0"/>
            <w:vAlign w:val="center"/>
          </w:tcPr>
          <w:p w14:paraId="75E09BDD">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检测指标</w:t>
            </w:r>
          </w:p>
        </w:tc>
        <w:tc>
          <w:tcPr>
            <w:tcW w:w="5039" w:type="dxa"/>
            <w:gridSpan w:val="3"/>
            <w:noWrap w:val="0"/>
            <w:vAlign w:val="center"/>
          </w:tcPr>
          <w:p w14:paraId="2FBA3D53">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rPr>
              <w:t>检测频次及结果</w:t>
            </w:r>
          </w:p>
        </w:tc>
        <w:tc>
          <w:tcPr>
            <w:tcW w:w="5036" w:type="dxa"/>
            <w:gridSpan w:val="3"/>
            <w:noWrap w:val="0"/>
            <w:vAlign w:val="center"/>
          </w:tcPr>
          <w:p w14:paraId="026D27BD">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rPr>
              <w:t>检测频次及结果</w:t>
            </w:r>
          </w:p>
        </w:tc>
      </w:tr>
      <w:tr w14:paraId="3DE6D6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290" w:type="dxa"/>
            <w:vMerge w:val="continue"/>
            <w:noWrap w:val="0"/>
            <w:vAlign w:val="center"/>
          </w:tcPr>
          <w:p w14:paraId="13C50339">
            <w:pPr>
              <w:widowControl/>
              <w:jc w:val="left"/>
              <w:rPr>
                <w:rFonts w:hint="eastAsia" w:ascii="宋体" w:hAnsi="宋体" w:eastAsia="宋体" w:cs="宋体"/>
                <w:color w:val="000000"/>
                <w:kern w:val="0"/>
                <w:sz w:val="21"/>
                <w:szCs w:val="21"/>
              </w:rPr>
            </w:pPr>
          </w:p>
        </w:tc>
        <w:tc>
          <w:tcPr>
            <w:tcW w:w="3193" w:type="dxa"/>
            <w:gridSpan w:val="2"/>
            <w:vMerge w:val="continue"/>
            <w:noWrap w:val="0"/>
            <w:vAlign w:val="center"/>
          </w:tcPr>
          <w:p w14:paraId="197F4B43">
            <w:pPr>
              <w:widowControl/>
              <w:jc w:val="left"/>
              <w:rPr>
                <w:rFonts w:hint="eastAsia" w:ascii="宋体" w:hAnsi="宋体" w:eastAsia="宋体" w:cs="宋体"/>
                <w:color w:val="000000"/>
                <w:kern w:val="0"/>
                <w:sz w:val="21"/>
                <w:szCs w:val="21"/>
              </w:rPr>
            </w:pPr>
          </w:p>
        </w:tc>
        <w:tc>
          <w:tcPr>
            <w:tcW w:w="1610" w:type="dxa"/>
            <w:noWrap w:val="0"/>
            <w:vAlign w:val="center"/>
          </w:tcPr>
          <w:p w14:paraId="208FF65A">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rPr>
              <w:t>第一次</w:t>
            </w:r>
          </w:p>
        </w:tc>
        <w:tc>
          <w:tcPr>
            <w:tcW w:w="1658" w:type="dxa"/>
            <w:noWrap w:val="0"/>
            <w:vAlign w:val="center"/>
          </w:tcPr>
          <w:p w14:paraId="22C05EF2">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rPr>
              <w:t>第二次</w:t>
            </w:r>
          </w:p>
        </w:tc>
        <w:tc>
          <w:tcPr>
            <w:tcW w:w="1771" w:type="dxa"/>
            <w:noWrap w:val="0"/>
            <w:vAlign w:val="center"/>
          </w:tcPr>
          <w:p w14:paraId="2FE93D37">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rPr>
              <w:t>第三次</w:t>
            </w:r>
          </w:p>
        </w:tc>
        <w:tc>
          <w:tcPr>
            <w:tcW w:w="1657" w:type="dxa"/>
            <w:noWrap w:val="0"/>
            <w:vAlign w:val="center"/>
          </w:tcPr>
          <w:p w14:paraId="4EB8CCB2">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rPr>
              <w:t>第一次</w:t>
            </w:r>
          </w:p>
        </w:tc>
        <w:tc>
          <w:tcPr>
            <w:tcW w:w="1714" w:type="dxa"/>
            <w:noWrap w:val="0"/>
            <w:vAlign w:val="center"/>
          </w:tcPr>
          <w:p w14:paraId="18D1067F">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rPr>
              <w:t>第二次</w:t>
            </w:r>
          </w:p>
        </w:tc>
        <w:tc>
          <w:tcPr>
            <w:tcW w:w="1665" w:type="dxa"/>
            <w:noWrap w:val="0"/>
            <w:vAlign w:val="center"/>
          </w:tcPr>
          <w:p w14:paraId="525EA1F4">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rPr>
              <w:t>第三次</w:t>
            </w:r>
          </w:p>
        </w:tc>
      </w:tr>
      <w:tr w14:paraId="360DBE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290" w:type="dxa"/>
            <w:vMerge w:val="restart"/>
            <w:noWrap w:val="0"/>
            <w:vAlign w:val="center"/>
          </w:tcPr>
          <w:p w14:paraId="7C0EF0F2">
            <w:pPr>
              <w:jc w:val="center"/>
              <w:rPr>
                <w:rFonts w:hint="eastAsia" w:ascii="宋体" w:hAnsi="宋体" w:eastAsia="宋体" w:cs="宋体"/>
                <w:color w:val="000000"/>
                <w:kern w:val="0"/>
                <w:sz w:val="21"/>
                <w:szCs w:val="21"/>
              </w:rPr>
            </w:pPr>
            <w:r>
              <w:rPr>
                <w:rFonts w:hint="eastAsia" w:ascii="宋体" w:hAnsi="宋体" w:eastAsia="宋体" w:cs="宋体"/>
                <w:color w:val="000000"/>
                <w:kern w:val="2"/>
                <w:sz w:val="21"/>
                <w:szCs w:val="21"/>
                <w:lang w:val="en-US" w:eastAsia="zh-CN" w:bidi="ar-SA"/>
              </w:rPr>
              <w:t>2025-02-13</w:t>
            </w:r>
          </w:p>
        </w:tc>
        <w:tc>
          <w:tcPr>
            <w:tcW w:w="3193" w:type="dxa"/>
            <w:gridSpan w:val="2"/>
            <w:noWrap w:val="0"/>
            <w:vAlign w:val="center"/>
          </w:tcPr>
          <w:p w14:paraId="486C2CD5">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rPr>
              <w:t>标态烟气流量（m</w:t>
            </w:r>
            <w:r>
              <w:rPr>
                <w:rFonts w:hint="eastAsia" w:ascii="宋体" w:hAnsi="宋体" w:eastAsia="宋体" w:cs="宋体"/>
                <w:color w:val="000000"/>
                <w:kern w:val="0"/>
                <w:sz w:val="21"/>
                <w:szCs w:val="21"/>
                <w:vertAlign w:val="superscript"/>
              </w:rPr>
              <w:t>3</w:t>
            </w:r>
            <w:r>
              <w:rPr>
                <w:rFonts w:hint="eastAsia" w:ascii="宋体" w:hAnsi="宋体" w:eastAsia="宋体" w:cs="宋体"/>
                <w:color w:val="000000"/>
                <w:kern w:val="0"/>
                <w:sz w:val="21"/>
                <w:szCs w:val="21"/>
              </w:rPr>
              <w:t>/h）</w:t>
            </w:r>
          </w:p>
        </w:tc>
        <w:tc>
          <w:tcPr>
            <w:tcW w:w="1610" w:type="dxa"/>
            <w:noWrap w:val="0"/>
            <w:vAlign w:val="center"/>
          </w:tcPr>
          <w:p w14:paraId="04FAF61A">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val="en-US" w:eastAsia="zh-CN"/>
              </w:rPr>
              <w:t>19749</w:t>
            </w:r>
          </w:p>
        </w:tc>
        <w:tc>
          <w:tcPr>
            <w:tcW w:w="1658" w:type="dxa"/>
            <w:noWrap w:val="0"/>
            <w:vAlign w:val="center"/>
          </w:tcPr>
          <w:p w14:paraId="2A5C37C7">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val="en-US" w:eastAsia="zh-CN"/>
              </w:rPr>
              <w:t>19037</w:t>
            </w:r>
          </w:p>
        </w:tc>
        <w:tc>
          <w:tcPr>
            <w:tcW w:w="1771" w:type="dxa"/>
            <w:noWrap w:val="0"/>
            <w:vAlign w:val="center"/>
          </w:tcPr>
          <w:p w14:paraId="426D8EA9">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val="en-US" w:eastAsia="zh-CN"/>
              </w:rPr>
              <w:t>18600</w:t>
            </w:r>
          </w:p>
        </w:tc>
        <w:tc>
          <w:tcPr>
            <w:tcW w:w="1657" w:type="dxa"/>
            <w:noWrap w:val="0"/>
            <w:vAlign w:val="center"/>
          </w:tcPr>
          <w:p w14:paraId="6AF37AF7">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val="en-US" w:eastAsia="zh-CN"/>
              </w:rPr>
              <w:t>19822</w:t>
            </w:r>
          </w:p>
        </w:tc>
        <w:tc>
          <w:tcPr>
            <w:tcW w:w="1714" w:type="dxa"/>
            <w:noWrap w:val="0"/>
            <w:vAlign w:val="center"/>
          </w:tcPr>
          <w:p w14:paraId="7145C63B">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val="en-US" w:eastAsia="zh-CN"/>
              </w:rPr>
              <w:t>19068</w:t>
            </w:r>
          </w:p>
        </w:tc>
        <w:tc>
          <w:tcPr>
            <w:tcW w:w="1665" w:type="dxa"/>
            <w:noWrap w:val="0"/>
            <w:vAlign w:val="center"/>
          </w:tcPr>
          <w:p w14:paraId="4AA3F48D">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val="en-US" w:eastAsia="zh-CN"/>
              </w:rPr>
              <w:t>19857</w:t>
            </w:r>
          </w:p>
        </w:tc>
      </w:tr>
      <w:tr w14:paraId="688706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290" w:type="dxa"/>
            <w:vMerge w:val="continue"/>
            <w:noWrap w:val="0"/>
            <w:vAlign w:val="center"/>
          </w:tcPr>
          <w:p w14:paraId="3D68B96F">
            <w:pPr>
              <w:jc w:val="left"/>
              <w:rPr>
                <w:rFonts w:hint="eastAsia" w:ascii="宋体" w:hAnsi="宋体" w:eastAsia="宋体" w:cs="宋体"/>
                <w:color w:val="000000"/>
                <w:kern w:val="0"/>
                <w:sz w:val="21"/>
                <w:szCs w:val="21"/>
              </w:rPr>
            </w:pPr>
          </w:p>
        </w:tc>
        <w:tc>
          <w:tcPr>
            <w:tcW w:w="1026" w:type="dxa"/>
            <w:vMerge w:val="restart"/>
            <w:noWrap w:val="0"/>
            <w:vAlign w:val="center"/>
          </w:tcPr>
          <w:p w14:paraId="2FE15193">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2"/>
                <w:sz w:val="21"/>
                <w:szCs w:val="21"/>
                <w:lang w:val="en-US" w:eastAsia="zh-CN" w:bidi="ar-SA"/>
              </w:rPr>
              <w:t>氨</w:t>
            </w:r>
          </w:p>
        </w:tc>
        <w:tc>
          <w:tcPr>
            <w:tcW w:w="2167" w:type="dxa"/>
            <w:noWrap w:val="0"/>
            <w:vAlign w:val="center"/>
          </w:tcPr>
          <w:p w14:paraId="0F76E148">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rPr>
              <w:t>浓度（mg/m</w:t>
            </w:r>
            <w:r>
              <w:rPr>
                <w:rFonts w:hint="eastAsia" w:ascii="宋体" w:hAnsi="宋体" w:eastAsia="宋体" w:cs="宋体"/>
                <w:color w:val="000000"/>
                <w:kern w:val="0"/>
                <w:sz w:val="21"/>
                <w:szCs w:val="21"/>
                <w:vertAlign w:val="superscript"/>
              </w:rPr>
              <w:t>3</w:t>
            </w:r>
            <w:r>
              <w:rPr>
                <w:rFonts w:hint="eastAsia" w:ascii="宋体" w:hAnsi="宋体" w:eastAsia="宋体" w:cs="宋体"/>
                <w:color w:val="000000"/>
                <w:kern w:val="0"/>
                <w:sz w:val="21"/>
                <w:szCs w:val="21"/>
              </w:rPr>
              <w:t>）</w:t>
            </w:r>
          </w:p>
        </w:tc>
        <w:tc>
          <w:tcPr>
            <w:tcW w:w="1610" w:type="dxa"/>
            <w:noWrap w:val="0"/>
            <w:vAlign w:val="center"/>
          </w:tcPr>
          <w:p w14:paraId="49BD7556">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auto"/>
                <w:kern w:val="2"/>
                <w:sz w:val="21"/>
                <w:szCs w:val="21"/>
                <w:lang w:val="en-US" w:eastAsia="zh-CN" w:bidi="ar-SA"/>
              </w:rPr>
              <w:t>23.0</w:t>
            </w:r>
          </w:p>
        </w:tc>
        <w:tc>
          <w:tcPr>
            <w:tcW w:w="1658" w:type="dxa"/>
            <w:noWrap w:val="0"/>
            <w:vAlign w:val="center"/>
          </w:tcPr>
          <w:p w14:paraId="55E7F403">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auto"/>
                <w:kern w:val="2"/>
                <w:sz w:val="21"/>
                <w:szCs w:val="21"/>
                <w:lang w:val="en-US" w:eastAsia="zh-CN" w:bidi="ar-SA"/>
              </w:rPr>
              <w:t>23.6</w:t>
            </w:r>
          </w:p>
        </w:tc>
        <w:tc>
          <w:tcPr>
            <w:tcW w:w="1771" w:type="dxa"/>
            <w:noWrap w:val="0"/>
            <w:vAlign w:val="center"/>
          </w:tcPr>
          <w:p w14:paraId="74FFB7DF">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auto"/>
                <w:kern w:val="2"/>
                <w:sz w:val="21"/>
                <w:szCs w:val="21"/>
                <w:lang w:val="en-US" w:eastAsia="zh-CN" w:bidi="ar-SA"/>
              </w:rPr>
              <w:t>22.7</w:t>
            </w:r>
          </w:p>
        </w:tc>
        <w:tc>
          <w:tcPr>
            <w:tcW w:w="1657" w:type="dxa"/>
            <w:noWrap w:val="0"/>
            <w:vAlign w:val="center"/>
          </w:tcPr>
          <w:p w14:paraId="034D4784">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2.07</w:t>
            </w:r>
          </w:p>
        </w:tc>
        <w:tc>
          <w:tcPr>
            <w:tcW w:w="1714" w:type="dxa"/>
            <w:noWrap w:val="0"/>
            <w:vAlign w:val="center"/>
          </w:tcPr>
          <w:p w14:paraId="757E0A87">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2.01</w:t>
            </w:r>
          </w:p>
        </w:tc>
        <w:tc>
          <w:tcPr>
            <w:tcW w:w="1665" w:type="dxa"/>
            <w:noWrap w:val="0"/>
            <w:vAlign w:val="center"/>
          </w:tcPr>
          <w:p w14:paraId="2C361D3F">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auto"/>
                <w:kern w:val="2"/>
                <w:sz w:val="21"/>
                <w:szCs w:val="21"/>
                <w:lang w:val="en-US" w:eastAsia="zh-CN" w:bidi="ar-SA"/>
              </w:rPr>
              <w:t>1.86</w:t>
            </w:r>
          </w:p>
        </w:tc>
      </w:tr>
      <w:tr w14:paraId="1AB2E8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290" w:type="dxa"/>
            <w:vMerge w:val="continue"/>
            <w:noWrap w:val="0"/>
            <w:vAlign w:val="center"/>
          </w:tcPr>
          <w:p w14:paraId="5505F2A6">
            <w:pPr>
              <w:jc w:val="left"/>
              <w:rPr>
                <w:rFonts w:hint="eastAsia" w:ascii="宋体" w:hAnsi="宋体" w:eastAsia="宋体" w:cs="宋体"/>
                <w:color w:val="000000"/>
                <w:kern w:val="0"/>
                <w:sz w:val="21"/>
                <w:szCs w:val="21"/>
              </w:rPr>
            </w:pPr>
          </w:p>
        </w:tc>
        <w:tc>
          <w:tcPr>
            <w:tcW w:w="1026" w:type="dxa"/>
            <w:vMerge w:val="continue"/>
            <w:noWrap w:val="0"/>
            <w:vAlign w:val="center"/>
          </w:tcPr>
          <w:p w14:paraId="070C4A8B">
            <w:pPr>
              <w:widowControl/>
              <w:jc w:val="center"/>
              <w:rPr>
                <w:rFonts w:hint="eastAsia" w:ascii="宋体" w:hAnsi="宋体" w:eastAsia="宋体" w:cs="宋体"/>
                <w:color w:val="000000"/>
                <w:kern w:val="0"/>
                <w:sz w:val="21"/>
                <w:szCs w:val="21"/>
                <w:lang w:val="en-US" w:eastAsia="zh-CN" w:bidi="ar-SA"/>
              </w:rPr>
            </w:pPr>
          </w:p>
        </w:tc>
        <w:tc>
          <w:tcPr>
            <w:tcW w:w="2167" w:type="dxa"/>
            <w:noWrap w:val="0"/>
            <w:vAlign w:val="center"/>
          </w:tcPr>
          <w:p w14:paraId="48F24E2F">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rPr>
              <w:t>速率（kg/h）</w:t>
            </w:r>
          </w:p>
        </w:tc>
        <w:tc>
          <w:tcPr>
            <w:tcW w:w="1610" w:type="dxa"/>
            <w:noWrap w:val="0"/>
            <w:vAlign w:val="center"/>
          </w:tcPr>
          <w:p w14:paraId="2B404877">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0.454</w:t>
            </w:r>
          </w:p>
        </w:tc>
        <w:tc>
          <w:tcPr>
            <w:tcW w:w="1658" w:type="dxa"/>
            <w:shd w:val="clear" w:color="auto" w:fill="auto"/>
            <w:noWrap w:val="0"/>
            <w:vAlign w:val="center"/>
          </w:tcPr>
          <w:p w14:paraId="6707FACA">
            <w:pPr>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0.449</w:t>
            </w:r>
          </w:p>
        </w:tc>
        <w:tc>
          <w:tcPr>
            <w:tcW w:w="1771" w:type="dxa"/>
            <w:noWrap w:val="0"/>
            <w:vAlign w:val="center"/>
          </w:tcPr>
          <w:p w14:paraId="4B4BD310">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auto"/>
                <w:kern w:val="2"/>
                <w:sz w:val="21"/>
                <w:szCs w:val="21"/>
                <w:lang w:val="en-US" w:eastAsia="zh-CN" w:bidi="ar-SA"/>
              </w:rPr>
              <w:t>0.422</w:t>
            </w:r>
          </w:p>
        </w:tc>
        <w:tc>
          <w:tcPr>
            <w:tcW w:w="1657" w:type="dxa"/>
            <w:noWrap w:val="0"/>
            <w:vAlign w:val="center"/>
          </w:tcPr>
          <w:p w14:paraId="2CC8A04D">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auto"/>
                <w:kern w:val="2"/>
                <w:sz w:val="21"/>
                <w:szCs w:val="21"/>
                <w:lang w:val="en-US" w:eastAsia="zh-CN" w:bidi="ar-SA"/>
              </w:rPr>
              <w:t>4.10×10</w:t>
            </w:r>
            <w:r>
              <w:rPr>
                <w:rFonts w:hint="eastAsia" w:ascii="宋体" w:hAnsi="宋体" w:eastAsia="宋体" w:cs="宋体"/>
                <w:color w:val="auto"/>
                <w:kern w:val="2"/>
                <w:sz w:val="21"/>
                <w:szCs w:val="21"/>
                <w:vertAlign w:val="superscript"/>
                <w:lang w:val="en-US" w:eastAsia="zh-CN" w:bidi="ar-SA"/>
              </w:rPr>
              <w:t>-2</w:t>
            </w:r>
          </w:p>
        </w:tc>
        <w:tc>
          <w:tcPr>
            <w:tcW w:w="1714" w:type="dxa"/>
            <w:noWrap w:val="0"/>
            <w:vAlign w:val="center"/>
          </w:tcPr>
          <w:p w14:paraId="2C57EF38">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auto"/>
                <w:kern w:val="2"/>
                <w:sz w:val="21"/>
                <w:szCs w:val="21"/>
                <w:lang w:val="en-US" w:eastAsia="zh-CN" w:bidi="ar-SA"/>
              </w:rPr>
              <w:t>3.83×10</w:t>
            </w:r>
            <w:r>
              <w:rPr>
                <w:rFonts w:hint="eastAsia" w:ascii="宋体" w:hAnsi="宋体" w:eastAsia="宋体" w:cs="宋体"/>
                <w:color w:val="auto"/>
                <w:kern w:val="2"/>
                <w:sz w:val="21"/>
                <w:szCs w:val="21"/>
                <w:vertAlign w:val="superscript"/>
                <w:lang w:val="en-US" w:eastAsia="zh-CN" w:bidi="ar-SA"/>
              </w:rPr>
              <w:t>-2</w:t>
            </w:r>
          </w:p>
        </w:tc>
        <w:tc>
          <w:tcPr>
            <w:tcW w:w="1665" w:type="dxa"/>
            <w:noWrap w:val="0"/>
            <w:vAlign w:val="center"/>
          </w:tcPr>
          <w:p w14:paraId="2E80FD90">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auto"/>
                <w:kern w:val="2"/>
                <w:sz w:val="21"/>
                <w:szCs w:val="21"/>
                <w:lang w:val="en-US" w:eastAsia="zh-CN" w:bidi="ar-SA"/>
              </w:rPr>
              <w:t>3.69×10</w:t>
            </w:r>
            <w:r>
              <w:rPr>
                <w:rFonts w:hint="eastAsia" w:ascii="宋体" w:hAnsi="宋体" w:eastAsia="宋体" w:cs="宋体"/>
                <w:color w:val="auto"/>
                <w:kern w:val="2"/>
                <w:sz w:val="21"/>
                <w:szCs w:val="21"/>
                <w:vertAlign w:val="superscript"/>
                <w:lang w:val="en-US" w:eastAsia="zh-CN" w:bidi="ar-SA"/>
              </w:rPr>
              <w:t>-2</w:t>
            </w:r>
          </w:p>
        </w:tc>
      </w:tr>
      <w:tr w14:paraId="31A42B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290" w:type="dxa"/>
            <w:vMerge w:val="continue"/>
            <w:noWrap w:val="0"/>
            <w:vAlign w:val="center"/>
          </w:tcPr>
          <w:p w14:paraId="7703011F">
            <w:pPr>
              <w:jc w:val="left"/>
              <w:rPr>
                <w:rFonts w:hint="eastAsia" w:ascii="宋体" w:hAnsi="宋体" w:eastAsia="宋体" w:cs="宋体"/>
                <w:color w:val="000000"/>
                <w:kern w:val="0"/>
                <w:sz w:val="21"/>
                <w:szCs w:val="21"/>
              </w:rPr>
            </w:pPr>
          </w:p>
        </w:tc>
        <w:tc>
          <w:tcPr>
            <w:tcW w:w="1026" w:type="dxa"/>
            <w:vMerge w:val="restart"/>
            <w:noWrap w:val="0"/>
            <w:vAlign w:val="center"/>
          </w:tcPr>
          <w:p w14:paraId="009E9A6C">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2"/>
                <w:sz w:val="21"/>
                <w:szCs w:val="21"/>
                <w:lang w:val="en-US" w:eastAsia="zh-CN" w:bidi="ar-SA"/>
              </w:rPr>
              <w:t>硫化氢</w:t>
            </w:r>
          </w:p>
        </w:tc>
        <w:tc>
          <w:tcPr>
            <w:tcW w:w="2167" w:type="dxa"/>
            <w:shd w:val="clear" w:color="auto" w:fill="auto"/>
            <w:noWrap w:val="0"/>
            <w:vAlign w:val="center"/>
          </w:tcPr>
          <w:p w14:paraId="7F80471E">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rPr>
              <w:t>浓度（mg/m</w:t>
            </w:r>
            <w:r>
              <w:rPr>
                <w:rFonts w:hint="eastAsia" w:ascii="宋体" w:hAnsi="宋体" w:eastAsia="宋体" w:cs="宋体"/>
                <w:color w:val="000000"/>
                <w:kern w:val="0"/>
                <w:sz w:val="21"/>
                <w:szCs w:val="21"/>
                <w:vertAlign w:val="superscript"/>
              </w:rPr>
              <w:t>3</w:t>
            </w:r>
            <w:r>
              <w:rPr>
                <w:rFonts w:hint="eastAsia" w:ascii="宋体" w:hAnsi="宋体" w:eastAsia="宋体" w:cs="宋体"/>
                <w:color w:val="000000"/>
                <w:kern w:val="0"/>
                <w:sz w:val="21"/>
                <w:szCs w:val="21"/>
              </w:rPr>
              <w:t>）</w:t>
            </w:r>
          </w:p>
        </w:tc>
        <w:tc>
          <w:tcPr>
            <w:tcW w:w="1610" w:type="dxa"/>
            <w:noWrap w:val="0"/>
            <w:vAlign w:val="center"/>
          </w:tcPr>
          <w:p w14:paraId="214C4A21">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auto"/>
                <w:kern w:val="2"/>
                <w:sz w:val="21"/>
                <w:szCs w:val="21"/>
                <w:lang w:val="en-US" w:eastAsia="zh-CN" w:bidi="ar-SA"/>
              </w:rPr>
              <w:t>23</w:t>
            </w:r>
          </w:p>
        </w:tc>
        <w:tc>
          <w:tcPr>
            <w:tcW w:w="1658" w:type="dxa"/>
            <w:shd w:val="clear" w:color="auto" w:fill="auto"/>
            <w:noWrap w:val="0"/>
            <w:vAlign w:val="center"/>
          </w:tcPr>
          <w:p w14:paraId="50817F7D">
            <w:pPr>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auto"/>
                <w:kern w:val="2"/>
                <w:sz w:val="21"/>
                <w:szCs w:val="21"/>
                <w:lang w:val="en-US" w:eastAsia="zh-CN" w:bidi="ar-SA"/>
              </w:rPr>
              <w:t>24</w:t>
            </w:r>
          </w:p>
        </w:tc>
        <w:tc>
          <w:tcPr>
            <w:tcW w:w="1771" w:type="dxa"/>
            <w:noWrap w:val="0"/>
            <w:vAlign w:val="center"/>
          </w:tcPr>
          <w:p w14:paraId="7EC8FBF9">
            <w:pPr>
              <w:widowControl/>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25</w:t>
            </w:r>
          </w:p>
        </w:tc>
        <w:tc>
          <w:tcPr>
            <w:tcW w:w="1657" w:type="dxa"/>
            <w:noWrap w:val="0"/>
            <w:vAlign w:val="center"/>
          </w:tcPr>
          <w:p w14:paraId="18EB6447">
            <w:pPr>
              <w:widowControl/>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val="en-US" w:eastAsia="zh-CN"/>
              </w:rPr>
              <w:t>9</w:t>
            </w:r>
          </w:p>
        </w:tc>
        <w:tc>
          <w:tcPr>
            <w:tcW w:w="1714" w:type="dxa"/>
            <w:noWrap w:val="0"/>
            <w:vAlign w:val="center"/>
          </w:tcPr>
          <w:p w14:paraId="669A79D9">
            <w:pPr>
              <w:widowControl/>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val="en-US" w:eastAsia="zh-CN"/>
              </w:rPr>
              <w:t>8</w:t>
            </w:r>
          </w:p>
        </w:tc>
        <w:tc>
          <w:tcPr>
            <w:tcW w:w="1665" w:type="dxa"/>
            <w:noWrap w:val="0"/>
            <w:vAlign w:val="center"/>
          </w:tcPr>
          <w:p w14:paraId="57C04D75">
            <w:pPr>
              <w:widowControl/>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7</w:t>
            </w:r>
          </w:p>
        </w:tc>
      </w:tr>
      <w:tr w14:paraId="62B92E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290" w:type="dxa"/>
            <w:vMerge w:val="continue"/>
            <w:noWrap w:val="0"/>
            <w:vAlign w:val="center"/>
          </w:tcPr>
          <w:p w14:paraId="55F603DB">
            <w:pPr>
              <w:jc w:val="left"/>
              <w:rPr>
                <w:rFonts w:hint="eastAsia" w:ascii="宋体" w:hAnsi="宋体" w:eastAsia="宋体" w:cs="宋体"/>
                <w:color w:val="000000"/>
                <w:kern w:val="0"/>
                <w:sz w:val="21"/>
                <w:szCs w:val="21"/>
              </w:rPr>
            </w:pPr>
          </w:p>
        </w:tc>
        <w:tc>
          <w:tcPr>
            <w:tcW w:w="1026" w:type="dxa"/>
            <w:vMerge w:val="continue"/>
            <w:noWrap w:val="0"/>
            <w:vAlign w:val="center"/>
          </w:tcPr>
          <w:p w14:paraId="5C36CFA6">
            <w:pPr>
              <w:widowControl/>
              <w:jc w:val="center"/>
              <w:rPr>
                <w:rFonts w:hint="eastAsia" w:ascii="宋体" w:hAnsi="宋体" w:eastAsia="宋体" w:cs="宋体"/>
                <w:color w:val="000000"/>
                <w:kern w:val="0"/>
                <w:sz w:val="21"/>
                <w:szCs w:val="21"/>
                <w:lang w:val="en-US" w:eastAsia="zh-CN" w:bidi="ar-SA"/>
              </w:rPr>
            </w:pPr>
          </w:p>
        </w:tc>
        <w:tc>
          <w:tcPr>
            <w:tcW w:w="2167" w:type="dxa"/>
            <w:shd w:val="clear" w:color="auto" w:fill="auto"/>
            <w:noWrap w:val="0"/>
            <w:vAlign w:val="center"/>
          </w:tcPr>
          <w:p w14:paraId="263E892B">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rPr>
              <w:t>速率（kg/h）</w:t>
            </w:r>
          </w:p>
        </w:tc>
        <w:tc>
          <w:tcPr>
            <w:tcW w:w="1610" w:type="dxa"/>
            <w:noWrap w:val="0"/>
            <w:vAlign w:val="center"/>
          </w:tcPr>
          <w:p w14:paraId="5B569E9C">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0.454</w:t>
            </w:r>
          </w:p>
        </w:tc>
        <w:tc>
          <w:tcPr>
            <w:tcW w:w="1658" w:type="dxa"/>
            <w:shd w:val="clear" w:color="auto" w:fill="auto"/>
            <w:noWrap w:val="0"/>
            <w:vAlign w:val="center"/>
          </w:tcPr>
          <w:p w14:paraId="333A8901">
            <w:pPr>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0.457</w:t>
            </w:r>
          </w:p>
        </w:tc>
        <w:tc>
          <w:tcPr>
            <w:tcW w:w="1771" w:type="dxa"/>
            <w:noWrap w:val="0"/>
            <w:vAlign w:val="center"/>
          </w:tcPr>
          <w:p w14:paraId="14971B3B">
            <w:pPr>
              <w:widowControl/>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0.465</w:t>
            </w:r>
          </w:p>
        </w:tc>
        <w:tc>
          <w:tcPr>
            <w:tcW w:w="1657" w:type="dxa"/>
            <w:noWrap w:val="0"/>
            <w:vAlign w:val="center"/>
          </w:tcPr>
          <w:p w14:paraId="2B016C74">
            <w:pPr>
              <w:widowControl/>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val="en-US" w:eastAsia="zh-CN"/>
              </w:rPr>
              <w:t>0.178</w:t>
            </w:r>
          </w:p>
        </w:tc>
        <w:tc>
          <w:tcPr>
            <w:tcW w:w="1714" w:type="dxa"/>
            <w:noWrap w:val="0"/>
            <w:vAlign w:val="center"/>
          </w:tcPr>
          <w:p w14:paraId="7D2D52EB">
            <w:pPr>
              <w:widowControl/>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val="en-US" w:eastAsia="zh-CN"/>
              </w:rPr>
              <w:t>0.153</w:t>
            </w:r>
          </w:p>
        </w:tc>
        <w:tc>
          <w:tcPr>
            <w:tcW w:w="1665" w:type="dxa"/>
            <w:noWrap w:val="0"/>
            <w:vAlign w:val="center"/>
          </w:tcPr>
          <w:p w14:paraId="4168227D">
            <w:pPr>
              <w:widowControl/>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0.139</w:t>
            </w:r>
          </w:p>
        </w:tc>
      </w:tr>
      <w:tr w14:paraId="7D8537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290" w:type="dxa"/>
            <w:vMerge w:val="continue"/>
            <w:noWrap w:val="0"/>
            <w:vAlign w:val="center"/>
          </w:tcPr>
          <w:p w14:paraId="3F039B86">
            <w:pPr>
              <w:jc w:val="left"/>
              <w:rPr>
                <w:rFonts w:hint="eastAsia" w:ascii="宋体" w:hAnsi="宋体" w:eastAsia="宋体" w:cs="宋体"/>
                <w:color w:val="000000"/>
                <w:kern w:val="0"/>
                <w:sz w:val="21"/>
                <w:szCs w:val="21"/>
              </w:rPr>
            </w:pPr>
          </w:p>
        </w:tc>
        <w:tc>
          <w:tcPr>
            <w:tcW w:w="1026" w:type="dxa"/>
            <w:vMerge w:val="restart"/>
            <w:noWrap w:val="0"/>
            <w:vAlign w:val="center"/>
          </w:tcPr>
          <w:p w14:paraId="4EEBE79B">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2"/>
                <w:sz w:val="21"/>
                <w:szCs w:val="21"/>
                <w:lang w:val="en-US" w:eastAsia="zh-CN" w:bidi="ar-SA"/>
              </w:rPr>
              <w:t>臭气</w:t>
            </w:r>
          </w:p>
        </w:tc>
        <w:tc>
          <w:tcPr>
            <w:tcW w:w="2167" w:type="dxa"/>
            <w:shd w:val="clear" w:color="auto" w:fill="auto"/>
            <w:noWrap w:val="0"/>
            <w:vAlign w:val="center"/>
          </w:tcPr>
          <w:p w14:paraId="6AAE1DFD">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rPr>
              <w:t>浓度（</w:t>
            </w:r>
            <w:r>
              <w:rPr>
                <w:rFonts w:hint="eastAsia" w:ascii="宋体" w:hAnsi="宋体" w:eastAsia="宋体" w:cs="宋体"/>
                <w:color w:val="000000"/>
                <w:spacing w:val="-16"/>
                <w:sz w:val="21"/>
                <w:szCs w:val="21"/>
                <w:lang w:val="en-US" w:eastAsia="zh-CN"/>
              </w:rPr>
              <w:t>无量纲</w:t>
            </w:r>
            <w:r>
              <w:rPr>
                <w:rFonts w:hint="eastAsia" w:ascii="宋体" w:hAnsi="宋体" w:eastAsia="宋体" w:cs="宋体"/>
                <w:color w:val="000000"/>
                <w:kern w:val="0"/>
                <w:sz w:val="21"/>
                <w:szCs w:val="21"/>
              </w:rPr>
              <w:t>）</w:t>
            </w:r>
          </w:p>
        </w:tc>
        <w:tc>
          <w:tcPr>
            <w:tcW w:w="1610" w:type="dxa"/>
            <w:noWrap w:val="0"/>
            <w:vAlign w:val="center"/>
          </w:tcPr>
          <w:p w14:paraId="2E002F8B">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auto"/>
                <w:kern w:val="2"/>
                <w:sz w:val="21"/>
                <w:szCs w:val="21"/>
                <w:lang w:val="en-US" w:eastAsia="zh-CN" w:bidi="ar-SA"/>
              </w:rPr>
              <w:t>3.09×10</w:t>
            </w:r>
            <w:r>
              <w:rPr>
                <w:rFonts w:hint="eastAsia" w:ascii="宋体" w:hAnsi="宋体" w:eastAsia="宋体" w:cs="宋体"/>
                <w:color w:val="auto"/>
                <w:kern w:val="2"/>
                <w:sz w:val="21"/>
                <w:szCs w:val="21"/>
                <w:vertAlign w:val="superscript"/>
                <w:lang w:val="en-US" w:eastAsia="zh-CN" w:bidi="ar-SA"/>
              </w:rPr>
              <w:t>3</w:t>
            </w:r>
          </w:p>
        </w:tc>
        <w:tc>
          <w:tcPr>
            <w:tcW w:w="1658" w:type="dxa"/>
            <w:shd w:val="clear" w:color="auto" w:fill="auto"/>
            <w:noWrap w:val="0"/>
            <w:vAlign w:val="center"/>
          </w:tcPr>
          <w:p w14:paraId="5365A80F">
            <w:pPr>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auto"/>
                <w:kern w:val="2"/>
                <w:sz w:val="21"/>
                <w:szCs w:val="21"/>
                <w:lang w:val="en-US" w:eastAsia="zh-CN" w:bidi="ar-SA"/>
              </w:rPr>
              <w:t>4.17×10</w:t>
            </w:r>
            <w:r>
              <w:rPr>
                <w:rFonts w:hint="eastAsia" w:ascii="宋体" w:hAnsi="宋体" w:eastAsia="宋体" w:cs="宋体"/>
                <w:color w:val="auto"/>
                <w:kern w:val="2"/>
                <w:sz w:val="21"/>
                <w:szCs w:val="21"/>
                <w:vertAlign w:val="superscript"/>
                <w:lang w:val="en-US" w:eastAsia="zh-CN" w:bidi="ar-SA"/>
              </w:rPr>
              <w:t>3</w:t>
            </w:r>
          </w:p>
        </w:tc>
        <w:tc>
          <w:tcPr>
            <w:tcW w:w="1771" w:type="dxa"/>
            <w:noWrap w:val="0"/>
            <w:vAlign w:val="center"/>
          </w:tcPr>
          <w:p w14:paraId="3A287715">
            <w:pPr>
              <w:widowControl/>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5.50×10</w:t>
            </w:r>
            <w:r>
              <w:rPr>
                <w:rFonts w:hint="eastAsia" w:ascii="宋体" w:hAnsi="宋体" w:eastAsia="宋体" w:cs="宋体"/>
                <w:color w:val="auto"/>
                <w:kern w:val="2"/>
                <w:sz w:val="21"/>
                <w:szCs w:val="21"/>
                <w:vertAlign w:val="superscript"/>
                <w:lang w:val="en-US" w:eastAsia="zh-CN" w:bidi="ar-SA"/>
              </w:rPr>
              <w:t>3</w:t>
            </w:r>
          </w:p>
        </w:tc>
        <w:tc>
          <w:tcPr>
            <w:tcW w:w="1657" w:type="dxa"/>
            <w:noWrap w:val="0"/>
            <w:vAlign w:val="center"/>
          </w:tcPr>
          <w:p w14:paraId="44CAEC57">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355</w:t>
            </w:r>
          </w:p>
        </w:tc>
        <w:tc>
          <w:tcPr>
            <w:tcW w:w="1714" w:type="dxa"/>
            <w:noWrap w:val="0"/>
            <w:vAlign w:val="center"/>
          </w:tcPr>
          <w:p w14:paraId="31CA31F6">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269</w:t>
            </w:r>
          </w:p>
        </w:tc>
        <w:tc>
          <w:tcPr>
            <w:tcW w:w="1665" w:type="dxa"/>
            <w:noWrap w:val="0"/>
            <w:vAlign w:val="center"/>
          </w:tcPr>
          <w:p w14:paraId="4689163B">
            <w:pPr>
              <w:widowControl/>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479</w:t>
            </w:r>
          </w:p>
        </w:tc>
      </w:tr>
      <w:tr w14:paraId="0D4F41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290" w:type="dxa"/>
            <w:vMerge w:val="continue"/>
            <w:noWrap w:val="0"/>
            <w:vAlign w:val="center"/>
          </w:tcPr>
          <w:p w14:paraId="7ACB95EE">
            <w:pPr>
              <w:jc w:val="left"/>
              <w:rPr>
                <w:rFonts w:hint="eastAsia" w:ascii="宋体" w:hAnsi="宋体" w:eastAsia="宋体" w:cs="宋体"/>
                <w:color w:val="000000"/>
                <w:kern w:val="0"/>
                <w:sz w:val="21"/>
                <w:szCs w:val="21"/>
              </w:rPr>
            </w:pPr>
          </w:p>
        </w:tc>
        <w:tc>
          <w:tcPr>
            <w:tcW w:w="1026" w:type="dxa"/>
            <w:vMerge w:val="continue"/>
            <w:noWrap w:val="0"/>
            <w:vAlign w:val="center"/>
          </w:tcPr>
          <w:p w14:paraId="0DB3013B">
            <w:pPr>
              <w:widowControl/>
              <w:jc w:val="center"/>
              <w:rPr>
                <w:rFonts w:hint="eastAsia" w:ascii="宋体" w:hAnsi="宋体" w:eastAsia="宋体" w:cs="宋体"/>
                <w:color w:val="000000"/>
                <w:kern w:val="0"/>
                <w:sz w:val="21"/>
                <w:szCs w:val="21"/>
                <w:lang w:val="en-US" w:eastAsia="zh-CN" w:bidi="ar-SA"/>
              </w:rPr>
            </w:pPr>
          </w:p>
        </w:tc>
        <w:tc>
          <w:tcPr>
            <w:tcW w:w="2167" w:type="dxa"/>
            <w:shd w:val="clear" w:color="auto" w:fill="auto"/>
            <w:noWrap w:val="0"/>
            <w:vAlign w:val="center"/>
          </w:tcPr>
          <w:p w14:paraId="5D152320">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rPr>
              <w:t>速率（kg/h）</w:t>
            </w:r>
          </w:p>
        </w:tc>
        <w:tc>
          <w:tcPr>
            <w:tcW w:w="1610" w:type="dxa"/>
            <w:noWrap w:val="0"/>
            <w:vAlign w:val="center"/>
          </w:tcPr>
          <w:p w14:paraId="6F3D2037">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w:t>
            </w:r>
          </w:p>
        </w:tc>
        <w:tc>
          <w:tcPr>
            <w:tcW w:w="1658" w:type="dxa"/>
            <w:shd w:val="clear" w:color="auto" w:fill="auto"/>
            <w:noWrap w:val="0"/>
            <w:vAlign w:val="center"/>
          </w:tcPr>
          <w:p w14:paraId="5784B39E">
            <w:pPr>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w:t>
            </w:r>
          </w:p>
        </w:tc>
        <w:tc>
          <w:tcPr>
            <w:tcW w:w="1771" w:type="dxa"/>
            <w:noWrap w:val="0"/>
            <w:vAlign w:val="center"/>
          </w:tcPr>
          <w:p w14:paraId="1BAD37F8">
            <w:pPr>
              <w:widowControl/>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val="en-US" w:eastAsia="zh-CN"/>
              </w:rPr>
              <w:t>/</w:t>
            </w:r>
          </w:p>
        </w:tc>
        <w:tc>
          <w:tcPr>
            <w:tcW w:w="1657" w:type="dxa"/>
            <w:noWrap w:val="0"/>
            <w:vAlign w:val="center"/>
          </w:tcPr>
          <w:p w14:paraId="74062508">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w:t>
            </w:r>
          </w:p>
        </w:tc>
        <w:tc>
          <w:tcPr>
            <w:tcW w:w="1714" w:type="dxa"/>
            <w:noWrap w:val="0"/>
            <w:vAlign w:val="center"/>
          </w:tcPr>
          <w:p w14:paraId="097EE287">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w:t>
            </w:r>
          </w:p>
        </w:tc>
        <w:tc>
          <w:tcPr>
            <w:tcW w:w="1665" w:type="dxa"/>
            <w:noWrap w:val="0"/>
            <w:vAlign w:val="center"/>
          </w:tcPr>
          <w:p w14:paraId="182BFC4B">
            <w:pPr>
              <w:widowControl/>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val="en-US" w:eastAsia="zh-CN"/>
              </w:rPr>
              <w:t>/</w:t>
            </w:r>
          </w:p>
        </w:tc>
      </w:tr>
      <w:tr w14:paraId="44D929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290" w:type="dxa"/>
            <w:vMerge w:val="restart"/>
            <w:noWrap w:val="0"/>
            <w:vAlign w:val="center"/>
          </w:tcPr>
          <w:p w14:paraId="6BE43D15">
            <w:pPr>
              <w:jc w:val="center"/>
              <w:rPr>
                <w:rFonts w:hint="eastAsia" w:ascii="宋体" w:hAnsi="宋体" w:eastAsia="宋体" w:cs="宋体"/>
                <w:color w:val="000000"/>
                <w:kern w:val="0"/>
                <w:sz w:val="21"/>
                <w:szCs w:val="21"/>
              </w:rPr>
            </w:pPr>
            <w:r>
              <w:rPr>
                <w:rFonts w:hint="eastAsia" w:ascii="宋体" w:hAnsi="宋体" w:eastAsia="宋体" w:cs="宋体"/>
                <w:color w:val="000000"/>
                <w:kern w:val="2"/>
                <w:sz w:val="21"/>
                <w:szCs w:val="21"/>
                <w:lang w:val="en-US" w:eastAsia="zh-CN" w:bidi="ar-SA"/>
              </w:rPr>
              <w:t>2025-02-14</w:t>
            </w:r>
          </w:p>
        </w:tc>
        <w:tc>
          <w:tcPr>
            <w:tcW w:w="3193" w:type="dxa"/>
            <w:gridSpan w:val="2"/>
            <w:noWrap w:val="0"/>
            <w:vAlign w:val="center"/>
          </w:tcPr>
          <w:p w14:paraId="5700DDB3">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rPr>
              <w:t>标态烟气流量（m</w:t>
            </w:r>
            <w:r>
              <w:rPr>
                <w:rFonts w:hint="eastAsia" w:ascii="宋体" w:hAnsi="宋体" w:eastAsia="宋体" w:cs="宋体"/>
                <w:color w:val="000000"/>
                <w:kern w:val="0"/>
                <w:sz w:val="21"/>
                <w:szCs w:val="21"/>
                <w:vertAlign w:val="superscript"/>
              </w:rPr>
              <w:t>3</w:t>
            </w:r>
            <w:r>
              <w:rPr>
                <w:rFonts w:hint="eastAsia" w:ascii="宋体" w:hAnsi="宋体" w:eastAsia="宋体" w:cs="宋体"/>
                <w:color w:val="000000"/>
                <w:kern w:val="0"/>
                <w:sz w:val="21"/>
                <w:szCs w:val="21"/>
              </w:rPr>
              <w:t>/h）</w:t>
            </w:r>
          </w:p>
        </w:tc>
        <w:tc>
          <w:tcPr>
            <w:tcW w:w="1610" w:type="dxa"/>
            <w:noWrap w:val="0"/>
            <w:vAlign w:val="center"/>
          </w:tcPr>
          <w:p w14:paraId="0CD0D34A">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2"/>
                <w:sz w:val="21"/>
                <w:szCs w:val="21"/>
                <w:lang w:val="en-US" w:eastAsia="zh-CN" w:bidi="ar-SA"/>
              </w:rPr>
              <w:t>19461</w:t>
            </w:r>
          </w:p>
        </w:tc>
        <w:tc>
          <w:tcPr>
            <w:tcW w:w="1658" w:type="dxa"/>
            <w:noWrap w:val="0"/>
            <w:vAlign w:val="center"/>
          </w:tcPr>
          <w:p w14:paraId="638442C4">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val="en-US" w:eastAsia="zh-CN"/>
              </w:rPr>
              <w:t>19437</w:t>
            </w:r>
          </w:p>
        </w:tc>
        <w:tc>
          <w:tcPr>
            <w:tcW w:w="1771" w:type="dxa"/>
            <w:noWrap w:val="0"/>
            <w:vAlign w:val="center"/>
          </w:tcPr>
          <w:p w14:paraId="2920F78B">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val="en-US" w:eastAsia="zh-CN"/>
              </w:rPr>
              <w:t>19770</w:t>
            </w:r>
          </w:p>
        </w:tc>
        <w:tc>
          <w:tcPr>
            <w:tcW w:w="1657" w:type="dxa"/>
            <w:noWrap w:val="0"/>
            <w:vAlign w:val="center"/>
          </w:tcPr>
          <w:p w14:paraId="1C857AD3">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val="en-US" w:eastAsia="zh-CN"/>
              </w:rPr>
              <w:t>19788</w:t>
            </w:r>
          </w:p>
        </w:tc>
        <w:tc>
          <w:tcPr>
            <w:tcW w:w="1714" w:type="dxa"/>
            <w:noWrap w:val="0"/>
            <w:vAlign w:val="center"/>
          </w:tcPr>
          <w:p w14:paraId="661C8659">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val="en-US" w:eastAsia="zh-CN"/>
              </w:rPr>
              <w:t>19184</w:t>
            </w:r>
          </w:p>
        </w:tc>
        <w:tc>
          <w:tcPr>
            <w:tcW w:w="1665" w:type="dxa"/>
            <w:noWrap w:val="0"/>
            <w:vAlign w:val="center"/>
          </w:tcPr>
          <w:p w14:paraId="58138C8E">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val="en-US" w:eastAsia="zh-CN"/>
              </w:rPr>
              <w:t>19402</w:t>
            </w:r>
          </w:p>
        </w:tc>
      </w:tr>
      <w:tr w14:paraId="14D830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290" w:type="dxa"/>
            <w:vMerge w:val="continue"/>
            <w:noWrap w:val="0"/>
            <w:vAlign w:val="center"/>
          </w:tcPr>
          <w:p w14:paraId="45167357">
            <w:pPr>
              <w:jc w:val="left"/>
              <w:rPr>
                <w:rFonts w:hint="eastAsia" w:ascii="宋体" w:hAnsi="宋体" w:eastAsia="宋体" w:cs="宋体"/>
                <w:color w:val="000000"/>
                <w:kern w:val="0"/>
                <w:sz w:val="21"/>
                <w:szCs w:val="21"/>
              </w:rPr>
            </w:pPr>
          </w:p>
        </w:tc>
        <w:tc>
          <w:tcPr>
            <w:tcW w:w="1026" w:type="dxa"/>
            <w:vMerge w:val="restart"/>
            <w:noWrap w:val="0"/>
            <w:vAlign w:val="center"/>
          </w:tcPr>
          <w:p w14:paraId="20300DFA">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2"/>
                <w:sz w:val="21"/>
                <w:szCs w:val="21"/>
                <w:lang w:val="en-US" w:eastAsia="zh-CN" w:bidi="ar-SA"/>
              </w:rPr>
              <w:t>氨</w:t>
            </w:r>
          </w:p>
        </w:tc>
        <w:tc>
          <w:tcPr>
            <w:tcW w:w="2167" w:type="dxa"/>
            <w:noWrap w:val="0"/>
            <w:vAlign w:val="center"/>
          </w:tcPr>
          <w:p w14:paraId="2888C395">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rPr>
              <w:t>浓度（mg/m</w:t>
            </w:r>
            <w:r>
              <w:rPr>
                <w:rFonts w:hint="eastAsia" w:ascii="宋体" w:hAnsi="宋体" w:eastAsia="宋体" w:cs="宋体"/>
                <w:color w:val="000000"/>
                <w:kern w:val="0"/>
                <w:sz w:val="21"/>
                <w:szCs w:val="21"/>
                <w:vertAlign w:val="superscript"/>
              </w:rPr>
              <w:t>3</w:t>
            </w:r>
            <w:r>
              <w:rPr>
                <w:rFonts w:hint="eastAsia" w:ascii="宋体" w:hAnsi="宋体" w:eastAsia="宋体" w:cs="宋体"/>
                <w:color w:val="000000"/>
                <w:kern w:val="0"/>
                <w:sz w:val="21"/>
                <w:szCs w:val="21"/>
              </w:rPr>
              <w:t>）</w:t>
            </w:r>
          </w:p>
        </w:tc>
        <w:tc>
          <w:tcPr>
            <w:tcW w:w="1610" w:type="dxa"/>
            <w:noWrap w:val="0"/>
            <w:vAlign w:val="center"/>
          </w:tcPr>
          <w:p w14:paraId="184EB8D0">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auto"/>
                <w:kern w:val="2"/>
                <w:sz w:val="21"/>
                <w:szCs w:val="21"/>
                <w:lang w:val="en-US" w:eastAsia="zh-CN" w:bidi="ar-SA"/>
              </w:rPr>
              <w:t>23.4</w:t>
            </w:r>
          </w:p>
        </w:tc>
        <w:tc>
          <w:tcPr>
            <w:tcW w:w="1658" w:type="dxa"/>
            <w:noWrap w:val="0"/>
            <w:vAlign w:val="center"/>
          </w:tcPr>
          <w:p w14:paraId="08B74461">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auto"/>
                <w:kern w:val="2"/>
                <w:sz w:val="21"/>
                <w:szCs w:val="21"/>
                <w:lang w:val="en-US" w:eastAsia="zh-CN" w:bidi="ar-SA"/>
              </w:rPr>
              <w:t>23.1</w:t>
            </w:r>
          </w:p>
        </w:tc>
        <w:tc>
          <w:tcPr>
            <w:tcW w:w="1771" w:type="dxa"/>
            <w:noWrap w:val="0"/>
            <w:vAlign w:val="center"/>
          </w:tcPr>
          <w:p w14:paraId="411D5458">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auto"/>
                <w:kern w:val="2"/>
                <w:sz w:val="21"/>
                <w:szCs w:val="21"/>
                <w:lang w:val="en-US" w:eastAsia="zh-CN" w:bidi="ar-SA"/>
              </w:rPr>
              <w:t>23.5</w:t>
            </w:r>
          </w:p>
        </w:tc>
        <w:tc>
          <w:tcPr>
            <w:tcW w:w="1657" w:type="dxa"/>
            <w:noWrap w:val="0"/>
            <w:vAlign w:val="center"/>
          </w:tcPr>
          <w:p w14:paraId="3637DD97">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auto"/>
                <w:kern w:val="2"/>
                <w:sz w:val="21"/>
                <w:szCs w:val="21"/>
                <w:lang w:val="en-US" w:eastAsia="zh-CN" w:bidi="ar-SA"/>
              </w:rPr>
              <w:t>2.03</w:t>
            </w:r>
          </w:p>
        </w:tc>
        <w:tc>
          <w:tcPr>
            <w:tcW w:w="1714" w:type="dxa"/>
            <w:noWrap w:val="0"/>
            <w:vAlign w:val="center"/>
          </w:tcPr>
          <w:p w14:paraId="40E2D36E">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auto"/>
                <w:kern w:val="2"/>
                <w:sz w:val="21"/>
                <w:szCs w:val="21"/>
                <w:lang w:val="en-US" w:eastAsia="zh-CN" w:bidi="ar-SA"/>
              </w:rPr>
              <w:t>1.79</w:t>
            </w:r>
          </w:p>
        </w:tc>
        <w:tc>
          <w:tcPr>
            <w:tcW w:w="1665" w:type="dxa"/>
            <w:noWrap w:val="0"/>
            <w:vAlign w:val="center"/>
          </w:tcPr>
          <w:p w14:paraId="07634DD9">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auto"/>
                <w:kern w:val="2"/>
                <w:sz w:val="21"/>
                <w:szCs w:val="21"/>
                <w:lang w:val="en-US" w:eastAsia="zh-CN" w:bidi="ar-SA"/>
              </w:rPr>
              <w:t>1.96</w:t>
            </w:r>
          </w:p>
        </w:tc>
      </w:tr>
      <w:tr w14:paraId="31C34C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290" w:type="dxa"/>
            <w:vMerge w:val="continue"/>
            <w:noWrap w:val="0"/>
            <w:vAlign w:val="center"/>
          </w:tcPr>
          <w:p w14:paraId="07CCF44C">
            <w:pPr>
              <w:widowControl/>
              <w:jc w:val="left"/>
              <w:rPr>
                <w:rFonts w:hint="eastAsia" w:ascii="宋体" w:hAnsi="宋体" w:eastAsia="宋体" w:cs="宋体"/>
                <w:color w:val="000000"/>
                <w:kern w:val="0"/>
                <w:sz w:val="21"/>
                <w:szCs w:val="21"/>
              </w:rPr>
            </w:pPr>
          </w:p>
        </w:tc>
        <w:tc>
          <w:tcPr>
            <w:tcW w:w="1026" w:type="dxa"/>
            <w:vMerge w:val="continue"/>
            <w:noWrap w:val="0"/>
            <w:vAlign w:val="center"/>
          </w:tcPr>
          <w:p w14:paraId="71EEFC64">
            <w:pPr>
              <w:widowControl/>
              <w:jc w:val="left"/>
              <w:rPr>
                <w:rFonts w:hint="eastAsia" w:ascii="宋体" w:hAnsi="宋体" w:eastAsia="宋体" w:cs="宋体"/>
                <w:color w:val="000000"/>
                <w:kern w:val="0"/>
                <w:sz w:val="21"/>
                <w:szCs w:val="21"/>
              </w:rPr>
            </w:pPr>
          </w:p>
        </w:tc>
        <w:tc>
          <w:tcPr>
            <w:tcW w:w="2167" w:type="dxa"/>
            <w:noWrap w:val="0"/>
            <w:vAlign w:val="center"/>
          </w:tcPr>
          <w:p w14:paraId="00D18244">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rPr>
              <w:t>速率（kg/h）</w:t>
            </w:r>
          </w:p>
        </w:tc>
        <w:tc>
          <w:tcPr>
            <w:tcW w:w="1610" w:type="dxa"/>
            <w:noWrap w:val="0"/>
            <w:vAlign w:val="center"/>
          </w:tcPr>
          <w:p w14:paraId="584C05D1">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auto"/>
                <w:kern w:val="2"/>
                <w:sz w:val="21"/>
                <w:szCs w:val="21"/>
                <w:lang w:val="en-US" w:eastAsia="zh-CN" w:bidi="ar-SA"/>
              </w:rPr>
              <w:t>0.455</w:t>
            </w:r>
          </w:p>
        </w:tc>
        <w:tc>
          <w:tcPr>
            <w:tcW w:w="1658" w:type="dxa"/>
            <w:noWrap w:val="0"/>
            <w:vAlign w:val="center"/>
          </w:tcPr>
          <w:p w14:paraId="427035B7">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auto"/>
                <w:kern w:val="2"/>
                <w:sz w:val="21"/>
                <w:szCs w:val="21"/>
                <w:lang w:val="en-US" w:eastAsia="zh-CN" w:bidi="ar-SA"/>
              </w:rPr>
              <w:t>0.449</w:t>
            </w:r>
          </w:p>
        </w:tc>
        <w:tc>
          <w:tcPr>
            <w:tcW w:w="1771" w:type="dxa"/>
            <w:noWrap w:val="0"/>
            <w:vAlign w:val="center"/>
          </w:tcPr>
          <w:p w14:paraId="61BDEA3D">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auto"/>
                <w:kern w:val="2"/>
                <w:sz w:val="21"/>
                <w:szCs w:val="21"/>
                <w:lang w:val="en-US" w:eastAsia="zh-CN" w:bidi="ar-SA"/>
              </w:rPr>
              <w:t>0.465</w:t>
            </w:r>
          </w:p>
        </w:tc>
        <w:tc>
          <w:tcPr>
            <w:tcW w:w="1657" w:type="dxa"/>
            <w:noWrap w:val="0"/>
            <w:vAlign w:val="center"/>
          </w:tcPr>
          <w:p w14:paraId="36EEB9E8">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auto"/>
                <w:kern w:val="2"/>
                <w:sz w:val="21"/>
                <w:szCs w:val="21"/>
                <w:lang w:val="en-US" w:eastAsia="zh-CN" w:bidi="ar-SA"/>
              </w:rPr>
              <w:t>4.02×10</w:t>
            </w:r>
            <w:r>
              <w:rPr>
                <w:rFonts w:hint="eastAsia" w:ascii="宋体" w:hAnsi="宋体" w:eastAsia="宋体" w:cs="宋体"/>
                <w:color w:val="auto"/>
                <w:kern w:val="2"/>
                <w:sz w:val="21"/>
                <w:szCs w:val="21"/>
                <w:vertAlign w:val="superscript"/>
                <w:lang w:val="en-US" w:eastAsia="zh-CN" w:bidi="ar-SA"/>
              </w:rPr>
              <w:t>-2</w:t>
            </w:r>
          </w:p>
        </w:tc>
        <w:tc>
          <w:tcPr>
            <w:tcW w:w="1714" w:type="dxa"/>
            <w:noWrap w:val="0"/>
            <w:vAlign w:val="center"/>
          </w:tcPr>
          <w:p w14:paraId="13E4AFC9">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auto"/>
                <w:kern w:val="2"/>
                <w:sz w:val="21"/>
                <w:szCs w:val="21"/>
                <w:lang w:val="en-US" w:eastAsia="zh-CN" w:bidi="ar-SA"/>
              </w:rPr>
              <w:t>3.43×10</w:t>
            </w:r>
            <w:r>
              <w:rPr>
                <w:rFonts w:hint="eastAsia" w:ascii="宋体" w:hAnsi="宋体" w:eastAsia="宋体" w:cs="宋体"/>
                <w:color w:val="auto"/>
                <w:kern w:val="2"/>
                <w:sz w:val="21"/>
                <w:szCs w:val="21"/>
                <w:vertAlign w:val="superscript"/>
                <w:lang w:val="en-US" w:eastAsia="zh-CN" w:bidi="ar-SA"/>
              </w:rPr>
              <w:t>-2</w:t>
            </w:r>
          </w:p>
        </w:tc>
        <w:tc>
          <w:tcPr>
            <w:tcW w:w="1665" w:type="dxa"/>
            <w:noWrap w:val="0"/>
            <w:vAlign w:val="center"/>
          </w:tcPr>
          <w:p w14:paraId="6C918765">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auto"/>
                <w:kern w:val="2"/>
                <w:sz w:val="21"/>
                <w:szCs w:val="21"/>
                <w:lang w:val="en-US" w:eastAsia="zh-CN" w:bidi="ar-SA"/>
              </w:rPr>
              <w:t>3.80×10</w:t>
            </w:r>
            <w:r>
              <w:rPr>
                <w:rFonts w:hint="eastAsia" w:ascii="宋体" w:hAnsi="宋体" w:eastAsia="宋体" w:cs="宋体"/>
                <w:color w:val="auto"/>
                <w:kern w:val="2"/>
                <w:sz w:val="21"/>
                <w:szCs w:val="21"/>
                <w:vertAlign w:val="superscript"/>
                <w:lang w:val="en-US" w:eastAsia="zh-CN" w:bidi="ar-SA"/>
              </w:rPr>
              <w:t>-2</w:t>
            </w:r>
          </w:p>
        </w:tc>
      </w:tr>
      <w:tr w14:paraId="0333AF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290" w:type="dxa"/>
            <w:vMerge w:val="continue"/>
            <w:noWrap w:val="0"/>
            <w:vAlign w:val="center"/>
          </w:tcPr>
          <w:p w14:paraId="239AA6BF">
            <w:pPr>
              <w:widowControl/>
              <w:jc w:val="left"/>
              <w:rPr>
                <w:rFonts w:hint="eastAsia" w:ascii="宋体" w:hAnsi="宋体" w:eastAsia="宋体" w:cs="宋体"/>
                <w:color w:val="000000"/>
                <w:kern w:val="0"/>
                <w:sz w:val="21"/>
                <w:szCs w:val="21"/>
              </w:rPr>
            </w:pPr>
          </w:p>
        </w:tc>
        <w:tc>
          <w:tcPr>
            <w:tcW w:w="1026" w:type="dxa"/>
            <w:vMerge w:val="restart"/>
            <w:shd w:val="clear" w:color="auto" w:fill="auto"/>
            <w:noWrap w:val="0"/>
            <w:vAlign w:val="center"/>
          </w:tcPr>
          <w:p w14:paraId="2394BFE2">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2"/>
                <w:sz w:val="21"/>
                <w:szCs w:val="21"/>
                <w:lang w:val="en-US" w:eastAsia="zh-CN" w:bidi="ar-SA"/>
              </w:rPr>
              <w:t>硫化氢</w:t>
            </w:r>
          </w:p>
        </w:tc>
        <w:tc>
          <w:tcPr>
            <w:tcW w:w="2167" w:type="dxa"/>
            <w:shd w:val="clear" w:color="auto" w:fill="auto"/>
            <w:noWrap w:val="0"/>
            <w:vAlign w:val="center"/>
          </w:tcPr>
          <w:p w14:paraId="7311BD93">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rPr>
              <w:t>浓度（mg/m</w:t>
            </w:r>
            <w:r>
              <w:rPr>
                <w:rFonts w:hint="eastAsia" w:ascii="宋体" w:hAnsi="宋体" w:eastAsia="宋体" w:cs="宋体"/>
                <w:color w:val="000000"/>
                <w:kern w:val="0"/>
                <w:sz w:val="21"/>
                <w:szCs w:val="21"/>
                <w:vertAlign w:val="superscript"/>
              </w:rPr>
              <w:t>3</w:t>
            </w:r>
            <w:r>
              <w:rPr>
                <w:rFonts w:hint="eastAsia" w:ascii="宋体" w:hAnsi="宋体" w:eastAsia="宋体" w:cs="宋体"/>
                <w:color w:val="000000"/>
                <w:kern w:val="0"/>
                <w:sz w:val="21"/>
                <w:szCs w:val="21"/>
              </w:rPr>
              <w:t>）</w:t>
            </w:r>
          </w:p>
        </w:tc>
        <w:tc>
          <w:tcPr>
            <w:tcW w:w="1610" w:type="dxa"/>
            <w:noWrap w:val="0"/>
            <w:vAlign w:val="center"/>
          </w:tcPr>
          <w:p w14:paraId="3051AA16">
            <w:pPr>
              <w:widowControl/>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26</w:t>
            </w:r>
          </w:p>
        </w:tc>
        <w:tc>
          <w:tcPr>
            <w:tcW w:w="1658" w:type="dxa"/>
            <w:noWrap w:val="0"/>
            <w:vAlign w:val="center"/>
          </w:tcPr>
          <w:p w14:paraId="6885F168">
            <w:pPr>
              <w:widowControl/>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25</w:t>
            </w:r>
          </w:p>
        </w:tc>
        <w:tc>
          <w:tcPr>
            <w:tcW w:w="1771" w:type="dxa"/>
            <w:noWrap w:val="0"/>
            <w:vAlign w:val="center"/>
          </w:tcPr>
          <w:p w14:paraId="288F7CCA">
            <w:pPr>
              <w:widowControl/>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25</w:t>
            </w:r>
          </w:p>
        </w:tc>
        <w:tc>
          <w:tcPr>
            <w:tcW w:w="1657" w:type="dxa"/>
            <w:noWrap w:val="0"/>
            <w:vAlign w:val="center"/>
          </w:tcPr>
          <w:p w14:paraId="18F96764">
            <w:pPr>
              <w:widowControl/>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8</w:t>
            </w:r>
          </w:p>
        </w:tc>
        <w:tc>
          <w:tcPr>
            <w:tcW w:w="1714" w:type="dxa"/>
            <w:noWrap w:val="0"/>
            <w:vAlign w:val="center"/>
          </w:tcPr>
          <w:p w14:paraId="0A06F2BB">
            <w:pPr>
              <w:widowControl/>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6</w:t>
            </w:r>
          </w:p>
        </w:tc>
        <w:tc>
          <w:tcPr>
            <w:tcW w:w="1665" w:type="dxa"/>
            <w:noWrap w:val="0"/>
            <w:vAlign w:val="center"/>
          </w:tcPr>
          <w:p w14:paraId="33C56248">
            <w:pPr>
              <w:widowControl/>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7</w:t>
            </w:r>
          </w:p>
        </w:tc>
      </w:tr>
      <w:tr w14:paraId="40F5C8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290" w:type="dxa"/>
            <w:vMerge w:val="continue"/>
            <w:noWrap w:val="0"/>
            <w:vAlign w:val="center"/>
          </w:tcPr>
          <w:p w14:paraId="034169E1">
            <w:pPr>
              <w:widowControl/>
              <w:jc w:val="left"/>
              <w:rPr>
                <w:rFonts w:hint="eastAsia" w:ascii="宋体" w:hAnsi="宋体" w:eastAsia="宋体" w:cs="宋体"/>
                <w:color w:val="000000"/>
                <w:kern w:val="0"/>
                <w:sz w:val="21"/>
                <w:szCs w:val="21"/>
              </w:rPr>
            </w:pPr>
          </w:p>
        </w:tc>
        <w:tc>
          <w:tcPr>
            <w:tcW w:w="1026" w:type="dxa"/>
            <w:vMerge w:val="continue"/>
            <w:noWrap w:val="0"/>
            <w:vAlign w:val="center"/>
          </w:tcPr>
          <w:p w14:paraId="770C6FF7">
            <w:pPr>
              <w:widowControl/>
              <w:jc w:val="left"/>
              <w:rPr>
                <w:rFonts w:hint="eastAsia" w:ascii="宋体" w:hAnsi="宋体" w:eastAsia="宋体" w:cs="宋体"/>
                <w:color w:val="000000"/>
                <w:kern w:val="0"/>
                <w:sz w:val="21"/>
                <w:szCs w:val="21"/>
              </w:rPr>
            </w:pPr>
          </w:p>
        </w:tc>
        <w:tc>
          <w:tcPr>
            <w:tcW w:w="2167" w:type="dxa"/>
            <w:shd w:val="clear" w:color="auto" w:fill="auto"/>
            <w:noWrap w:val="0"/>
            <w:vAlign w:val="center"/>
          </w:tcPr>
          <w:p w14:paraId="0C547AFE">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rPr>
              <w:t>速率（kg/h）</w:t>
            </w:r>
          </w:p>
        </w:tc>
        <w:tc>
          <w:tcPr>
            <w:tcW w:w="1610" w:type="dxa"/>
            <w:noWrap w:val="0"/>
            <w:vAlign w:val="center"/>
          </w:tcPr>
          <w:p w14:paraId="51ED357B">
            <w:pPr>
              <w:widowControl/>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0.506</w:t>
            </w:r>
          </w:p>
        </w:tc>
        <w:tc>
          <w:tcPr>
            <w:tcW w:w="1658" w:type="dxa"/>
            <w:noWrap w:val="0"/>
            <w:vAlign w:val="center"/>
          </w:tcPr>
          <w:p w14:paraId="33C14036">
            <w:pPr>
              <w:widowControl/>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0.486</w:t>
            </w:r>
          </w:p>
        </w:tc>
        <w:tc>
          <w:tcPr>
            <w:tcW w:w="1771" w:type="dxa"/>
            <w:noWrap w:val="0"/>
            <w:vAlign w:val="center"/>
          </w:tcPr>
          <w:p w14:paraId="69439178">
            <w:pPr>
              <w:widowControl/>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0.494</w:t>
            </w:r>
          </w:p>
        </w:tc>
        <w:tc>
          <w:tcPr>
            <w:tcW w:w="1657" w:type="dxa"/>
            <w:noWrap w:val="0"/>
            <w:vAlign w:val="center"/>
          </w:tcPr>
          <w:p w14:paraId="038872EF">
            <w:pPr>
              <w:widowControl/>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0.158</w:t>
            </w:r>
          </w:p>
        </w:tc>
        <w:tc>
          <w:tcPr>
            <w:tcW w:w="1714" w:type="dxa"/>
            <w:noWrap w:val="0"/>
            <w:vAlign w:val="center"/>
          </w:tcPr>
          <w:p w14:paraId="3DD142E4">
            <w:pPr>
              <w:widowControl/>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0.115</w:t>
            </w:r>
          </w:p>
        </w:tc>
        <w:tc>
          <w:tcPr>
            <w:tcW w:w="1665" w:type="dxa"/>
            <w:noWrap w:val="0"/>
            <w:vAlign w:val="center"/>
          </w:tcPr>
          <w:p w14:paraId="6B02326E">
            <w:pPr>
              <w:widowControl/>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0.136</w:t>
            </w:r>
          </w:p>
        </w:tc>
      </w:tr>
      <w:tr w14:paraId="253A22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290" w:type="dxa"/>
            <w:vMerge w:val="continue"/>
            <w:noWrap w:val="0"/>
            <w:vAlign w:val="center"/>
          </w:tcPr>
          <w:p w14:paraId="3929D51A">
            <w:pPr>
              <w:widowControl/>
              <w:jc w:val="left"/>
              <w:rPr>
                <w:rFonts w:hint="eastAsia" w:ascii="宋体" w:hAnsi="宋体" w:eastAsia="宋体" w:cs="宋体"/>
                <w:color w:val="000000"/>
                <w:kern w:val="0"/>
                <w:sz w:val="21"/>
                <w:szCs w:val="21"/>
              </w:rPr>
            </w:pPr>
          </w:p>
        </w:tc>
        <w:tc>
          <w:tcPr>
            <w:tcW w:w="1026" w:type="dxa"/>
            <w:vMerge w:val="restart"/>
            <w:shd w:val="clear" w:color="auto" w:fill="auto"/>
            <w:noWrap w:val="0"/>
            <w:vAlign w:val="center"/>
          </w:tcPr>
          <w:p w14:paraId="2556BA24">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2"/>
                <w:sz w:val="21"/>
                <w:szCs w:val="21"/>
                <w:lang w:val="en-US" w:eastAsia="zh-CN" w:bidi="ar-SA"/>
              </w:rPr>
              <w:t>臭气</w:t>
            </w:r>
          </w:p>
        </w:tc>
        <w:tc>
          <w:tcPr>
            <w:tcW w:w="2167" w:type="dxa"/>
            <w:shd w:val="clear" w:color="auto" w:fill="auto"/>
            <w:noWrap w:val="0"/>
            <w:vAlign w:val="center"/>
          </w:tcPr>
          <w:p w14:paraId="0BE035F2">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rPr>
              <w:t>浓度（</w:t>
            </w:r>
            <w:r>
              <w:rPr>
                <w:rFonts w:hint="eastAsia" w:ascii="宋体" w:hAnsi="宋体" w:eastAsia="宋体" w:cs="宋体"/>
                <w:color w:val="000000"/>
                <w:spacing w:val="-16"/>
                <w:sz w:val="21"/>
                <w:szCs w:val="21"/>
                <w:lang w:val="en-US" w:eastAsia="zh-CN"/>
              </w:rPr>
              <w:t>无量纲</w:t>
            </w:r>
            <w:r>
              <w:rPr>
                <w:rFonts w:hint="eastAsia" w:ascii="宋体" w:hAnsi="宋体" w:eastAsia="宋体" w:cs="宋体"/>
                <w:color w:val="000000"/>
                <w:kern w:val="0"/>
                <w:sz w:val="21"/>
                <w:szCs w:val="21"/>
              </w:rPr>
              <w:t>）</w:t>
            </w:r>
          </w:p>
        </w:tc>
        <w:tc>
          <w:tcPr>
            <w:tcW w:w="1610" w:type="dxa"/>
            <w:noWrap w:val="0"/>
            <w:vAlign w:val="center"/>
          </w:tcPr>
          <w:p w14:paraId="210B664C">
            <w:pPr>
              <w:widowControl/>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4.79×10</w:t>
            </w:r>
            <w:r>
              <w:rPr>
                <w:rFonts w:hint="eastAsia" w:ascii="宋体" w:hAnsi="宋体" w:eastAsia="宋体" w:cs="宋体"/>
                <w:color w:val="auto"/>
                <w:kern w:val="2"/>
                <w:sz w:val="21"/>
                <w:szCs w:val="21"/>
                <w:vertAlign w:val="superscript"/>
                <w:lang w:val="en-US" w:eastAsia="zh-CN" w:bidi="ar-SA"/>
              </w:rPr>
              <w:t>3</w:t>
            </w:r>
          </w:p>
        </w:tc>
        <w:tc>
          <w:tcPr>
            <w:tcW w:w="1658" w:type="dxa"/>
            <w:noWrap w:val="0"/>
            <w:vAlign w:val="center"/>
          </w:tcPr>
          <w:p w14:paraId="09BF309E">
            <w:pPr>
              <w:widowControl/>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3.09×10</w:t>
            </w:r>
            <w:r>
              <w:rPr>
                <w:rFonts w:hint="eastAsia" w:ascii="宋体" w:hAnsi="宋体" w:eastAsia="宋体" w:cs="宋体"/>
                <w:color w:val="auto"/>
                <w:kern w:val="2"/>
                <w:sz w:val="21"/>
                <w:szCs w:val="21"/>
                <w:vertAlign w:val="superscript"/>
                <w:lang w:val="en-US" w:eastAsia="zh-CN" w:bidi="ar-SA"/>
              </w:rPr>
              <w:t>3</w:t>
            </w:r>
          </w:p>
        </w:tc>
        <w:tc>
          <w:tcPr>
            <w:tcW w:w="1771" w:type="dxa"/>
            <w:noWrap w:val="0"/>
            <w:vAlign w:val="center"/>
          </w:tcPr>
          <w:p w14:paraId="08B4EA61">
            <w:pPr>
              <w:widowControl/>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7.24×10</w:t>
            </w:r>
            <w:r>
              <w:rPr>
                <w:rFonts w:hint="eastAsia" w:ascii="宋体" w:hAnsi="宋体" w:eastAsia="宋体" w:cs="宋体"/>
                <w:color w:val="auto"/>
                <w:kern w:val="2"/>
                <w:sz w:val="21"/>
                <w:szCs w:val="21"/>
                <w:vertAlign w:val="superscript"/>
                <w:lang w:val="en-US" w:eastAsia="zh-CN" w:bidi="ar-SA"/>
              </w:rPr>
              <w:t>3</w:t>
            </w:r>
          </w:p>
        </w:tc>
        <w:tc>
          <w:tcPr>
            <w:tcW w:w="1657" w:type="dxa"/>
            <w:noWrap w:val="0"/>
            <w:vAlign w:val="center"/>
          </w:tcPr>
          <w:p w14:paraId="12422464">
            <w:pPr>
              <w:widowControl/>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269</w:t>
            </w:r>
          </w:p>
        </w:tc>
        <w:tc>
          <w:tcPr>
            <w:tcW w:w="1714" w:type="dxa"/>
            <w:noWrap w:val="0"/>
            <w:vAlign w:val="center"/>
          </w:tcPr>
          <w:p w14:paraId="0A769BE9">
            <w:pPr>
              <w:widowControl/>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550</w:t>
            </w:r>
          </w:p>
        </w:tc>
        <w:tc>
          <w:tcPr>
            <w:tcW w:w="1665" w:type="dxa"/>
            <w:noWrap w:val="0"/>
            <w:vAlign w:val="center"/>
          </w:tcPr>
          <w:p w14:paraId="795A4BC6">
            <w:pPr>
              <w:widowControl/>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240</w:t>
            </w:r>
          </w:p>
        </w:tc>
      </w:tr>
      <w:tr w14:paraId="1E0526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290" w:type="dxa"/>
            <w:vMerge w:val="continue"/>
            <w:noWrap w:val="0"/>
            <w:vAlign w:val="center"/>
          </w:tcPr>
          <w:p w14:paraId="31B59493">
            <w:pPr>
              <w:widowControl/>
              <w:jc w:val="left"/>
              <w:rPr>
                <w:rFonts w:hint="eastAsia" w:ascii="宋体" w:hAnsi="宋体" w:eastAsia="宋体" w:cs="宋体"/>
                <w:color w:val="000000"/>
                <w:kern w:val="0"/>
                <w:sz w:val="21"/>
                <w:szCs w:val="21"/>
              </w:rPr>
            </w:pPr>
          </w:p>
        </w:tc>
        <w:tc>
          <w:tcPr>
            <w:tcW w:w="1026" w:type="dxa"/>
            <w:vMerge w:val="continue"/>
            <w:noWrap w:val="0"/>
            <w:vAlign w:val="center"/>
          </w:tcPr>
          <w:p w14:paraId="03CB351E">
            <w:pPr>
              <w:widowControl/>
              <w:jc w:val="left"/>
              <w:rPr>
                <w:rFonts w:hint="eastAsia" w:ascii="宋体" w:hAnsi="宋体" w:eastAsia="宋体" w:cs="宋体"/>
                <w:color w:val="000000"/>
                <w:kern w:val="0"/>
                <w:sz w:val="21"/>
                <w:szCs w:val="21"/>
              </w:rPr>
            </w:pPr>
          </w:p>
        </w:tc>
        <w:tc>
          <w:tcPr>
            <w:tcW w:w="2167" w:type="dxa"/>
            <w:shd w:val="clear" w:color="auto" w:fill="auto"/>
            <w:noWrap w:val="0"/>
            <w:vAlign w:val="center"/>
          </w:tcPr>
          <w:p w14:paraId="6B965A5D">
            <w:pPr>
              <w:widowControl/>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rPr>
              <w:t>速率（kg/h）</w:t>
            </w:r>
          </w:p>
        </w:tc>
        <w:tc>
          <w:tcPr>
            <w:tcW w:w="1610" w:type="dxa"/>
            <w:noWrap w:val="0"/>
            <w:vAlign w:val="center"/>
          </w:tcPr>
          <w:p w14:paraId="377E763B">
            <w:pPr>
              <w:widowControl/>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val="en-US" w:eastAsia="zh-CN"/>
              </w:rPr>
              <w:t>/</w:t>
            </w:r>
          </w:p>
        </w:tc>
        <w:tc>
          <w:tcPr>
            <w:tcW w:w="1658" w:type="dxa"/>
            <w:noWrap w:val="0"/>
            <w:vAlign w:val="center"/>
          </w:tcPr>
          <w:p w14:paraId="162EB664">
            <w:pPr>
              <w:widowControl/>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val="en-US" w:eastAsia="zh-CN"/>
              </w:rPr>
              <w:t>/</w:t>
            </w:r>
          </w:p>
        </w:tc>
        <w:tc>
          <w:tcPr>
            <w:tcW w:w="1771" w:type="dxa"/>
            <w:noWrap w:val="0"/>
            <w:vAlign w:val="center"/>
          </w:tcPr>
          <w:p w14:paraId="507DC4A7">
            <w:pPr>
              <w:widowControl/>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val="en-US" w:eastAsia="zh-CN"/>
              </w:rPr>
              <w:t>/</w:t>
            </w:r>
          </w:p>
        </w:tc>
        <w:tc>
          <w:tcPr>
            <w:tcW w:w="1657" w:type="dxa"/>
            <w:noWrap w:val="0"/>
            <w:vAlign w:val="center"/>
          </w:tcPr>
          <w:p w14:paraId="618DC41E">
            <w:pPr>
              <w:widowControl/>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val="en-US" w:eastAsia="zh-CN"/>
              </w:rPr>
              <w:t>/</w:t>
            </w:r>
          </w:p>
        </w:tc>
        <w:tc>
          <w:tcPr>
            <w:tcW w:w="1714" w:type="dxa"/>
            <w:noWrap w:val="0"/>
            <w:vAlign w:val="center"/>
          </w:tcPr>
          <w:p w14:paraId="59A41101">
            <w:pPr>
              <w:widowControl/>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val="en-US" w:eastAsia="zh-CN"/>
              </w:rPr>
              <w:t>/</w:t>
            </w:r>
          </w:p>
        </w:tc>
        <w:tc>
          <w:tcPr>
            <w:tcW w:w="1665" w:type="dxa"/>
            <w:noWrap w:val="0"/>
            <w:vAlign w:val="center"/>
          </w:tcPr>
          <w:p w14:paraId="157EE612">
            <w:pPr>
              <w:widowControl/>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val="en-US" w:eastAsia="zh-CN"/>
              </w:rPr>
              <w:t>/</w:t>
            </w:r>
          </w:p>
        </w:tc>
      </w:tr>
      <w:tr w14:paraId="15590F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290" w:type="dxa"/>
            <w:noWrap w:val="0"/>
            <w:vAlign w:val="center"/>
          </w:tcPr>
          <w:p w14:paraId="6E95448E">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备注</w:t>
            </w:r>
          </w:p>
        </w:tc>
        <w:tc>
          <w:tcPr>
            <w:tcW w:w="13268" w:type="dxa"/>
            <w:gridSpan w:val="8"/>
            <w:noWrap w:val="0"/>
            <w:vAlign w:val="center"/>
          </w:tcPr>
          <w:p w14:paraId="3EE85C1D">
            <w:pPr>
              <w:widowControl/>
              <w:jc w:val="left"/>
              <w:rPr>
                <w:rFonts w:hint="eastAsia" w:ascii="宋体" w:hAnsi="宋体" w:eastAsia="宋体" w:cs="宋体"/>
                <w:color w:val="000000"/>
                <w:kern w:val="0"/>
                <w:sz w:val="21"/>
                <w:szCs w:val="21"/>
              </w:rPr>
            </w:pPr>
          </w:p>
        </w:tc>
      </w:tr>
    </w:tbl>
    <w:p w14:paraId="58B07CF7">
      <w:pPr>
        <w:pStyle w:val="9"/>
        <w:keepNext w:val="0"/>
        <w:keepLines w:val="0"/>
        <w:pageBreakBefore w:val="0"/>
        <w:widowControl w:val="0"/>
        <w:kinsoku/>
        <w:wordWrap/>
        <w:overflowPunct/>
        <w:topLinePunct w:val="0"/>
        <w:autoSpaceDE/>
        <w:autoSpaceDN/>
        <w:bidi w:val="0"/>
        <w:adjustRightInd/>
        <w:snapToGrid w:val="0"/>
        <w:spacing w:after="0" w:line="360" w:lineRule="auto"/>
        <w:ind w:left="0" w:leftChars="0" w:firstLine="480" w:firstLineChars="200"/>
        <w:jc w:val="both"/>
        <w:textAlignment w:val="auto"/>
        <w:outlineLvl w:val="9"/>
        <w:rPr>
          <w:rFonts w:hint="eastAsia" w:ascii="宋体" w:hAnsi="宋体" w:eastAsia="宋体" w:cs="宋体"/>
          <w:color w:val="FF0000"/>
          <w:sz w:val="24"/>
          <w:lang w:val="en-US" w:eastAsia="zh-CN"/>
        </w:rPr>
      </w:pPr>
    </w:p>
    <w:p w14:paraId="3A9978FD">
      <w:pPr>
        <w:pStyle w:val="9"/>
        <w:keepNext w:val="0"/>
        <w:keepLines w:val="0"/>
        <w:pageBreakBefore w:val="0"/>
        <w:widowControl w:val="0"/>
        <w:kinsoku/>
        <w:wordWrap/>
        <w:overflowPunct/>
        <w:topLinePunct w:val="0"/>
        <w:autoSpaceDE/>
        <w:autoSpaceDN/>
        <w:bidi w:val="0"/>
        <w:adjustRightInd/>
        <w:snapToGrid w:val="0"/>
        <w:spacing w:after="0" w:line="360" w:lineRule="auto"/>
        <w:ind w:left="0" w:leftChars="0" w:firstLine="0" w:firstLineChars="0"/>
        <w:jc w:val="both"/>
        <w:textAlignment w:val="auto"/>
        <w:outlineLvl w:val="9"/>
        <w:rPr>
          <w:rFonts w:hint="eastAsia" w:ascii="宋体" w:hAnsi="宋体" w:eastAsia="宋体" w:cs="宋体"/>
          <w:b/>
          <w:bCs/>
          <w:color w:val="000000"/>
          <w:kern w:val="0"/>
          <w:sz w:val="28"/>
          <w:szCs w:val="28"/>
          <w:lang w:val="en-US" w:eastAsia="zh-CN" w:bidi="ar"/>
        </w:rPr>
        <w:sectPr>
          <w:pgSz w:w="16838" w:h="11906" w:orient="landscape"/>
          <w:pgMar w:top="1800" w:right="1440" w:bottom="1800" w:left="1440" w:header="1191" w:footer="1020" w:gutter="0"/>
          <w:pgBorders w:offsetFrom="page">
            <w:top w:val="none" w:sz="0" w:space="0"/>
            <w:left w:val="none" w:sz="0" w:space="0"/>
            <w:bottom w:val="none" w:sz="0" w:space="0"/>
            <w:right w:val="none" w:sz="0" w:space="0"/>
          </w:pgBorders>
          <w:pgNumType w:fmt="decimal"/>
          <w:cols w:space="425" w:num="1"/>
          <w:docGrid w:type="lines" w:linePitch="312" w:charSpace="0"/>
        </w:sectPr>
      </w:pPr>
    </w:p>
    <w:p w14:paraId="5C68EAA2">
      <w:pPr>
        <w:keepNext w:val="0"/>
        <w:keepLines w:val="0"/>
        <w:widowControl/>
        <w:suppressLineNumbers w:val="0"/>
        <w:spacing w:line="360" w:lineRule="auto"/>
        <w:jc w:val="left"/>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b/>
          <w:bCs/>
          <w:color w:val="000000" w:themeColor="text1"/>
          <w:kern w:val="0"/>
          <w:sz w:val="24"/>
          <w:szCs w:val="24"/>
          <w:lang w:val="en-US" w:eastAsia="zh-CN" w:bidi="ar"/>
          <w14:textFill>
            <w14:solidFill>
              <w14:schemeClr w14:val="tx1"/>
            </w14:solidFill>
          </w14:textFill>
        </w:rPr>
        <w:t>有组织废气监测结果评价：</w:t>
      </w:r>
    </w:p>
    <w:p w14:paraId="1CD96FF4">
      <w:pPr>
        <w:pStyle w:val="9"/>
        <w:keepNext w:val="0"/>
        <w:keepLines w:val="0"/>
        <w:pageBreakBefore w:val="0"/>
        <w:widowControl w:val="0"/>
        <w:kinsoku/>
        <w:wordWrap/>
        <w:overflowPunct/>
        <w:topLinePunct w:val="0"/>
        <w:autoSpaceDE/>
        <w:autoSpaceDN/>
        <w:bidi w:val="0"/>
        <w:adjustRightInd/>
        <w:snapToGrid w:val="0"/>
        <w:spacing w:after="0" w:line="360" w:lineRule="auto"/>
        <w:ind w:left="0" w:leftChars="0" w:firstLine="480" w:firstLineChars="200"/>
        <w:jc w:val="both"/>
        <w:textAlignment w:val="auto"/>
        <w:outlineLvl w:val="9"/>
        <w:rPr>
          <w:rFonts w:hint="default"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验收监测期间</w:t>
      </w:r>
      <w:r>
        <w:rPr>
          <w:rFonts w:hint="eastAsia" w:ascii="宋体" w:hAnsi="宋体" w:eastAsia="宋体" w:cs="宋体"/>
          <w:color w:val="000000" w:themeColor="text1"/>
          <w:kern w:val="0"/>
          <w:sz w:val="24"/>
          <w:szCs w:val="24"/>
          <w:lang w:val="en-US" w:eastAsia="zh-CN"/>
          <w14:textFill>
            <w14:solidFill>
              <w14:schemeClr w14:val="tx1"/>
            </w14:solidFill>
          </w14:textFill>
        </w:rPr>
        <w:t>臭气治理设施</w:t>
      </w:r>
      <w:r>
        <w:rPr>
          <w:rFonts w:hint="eastAsia" w:ascii="宋体" w:hAnsi="宋体" w:eastAsia="宋体" w:cs="宋体"/>
          <w:color w:val="000000" w:themeColor="text1"/>
          <w:kern w:val="0"/>
          <w:sz w:val="24"/>
          <w:szCs w:val="24"/>
          <w14:textFill>
            <w14:solidFill>
              <w14:schemeClr w14:val="tx1"/>
            </w14:solidFill>
          </w14:textFill>
        </w:rPr>
        <w:t>废气排气筒（DA00</w:t>
      </w:r>
      <w:r>
        <w:rPr>
          <w:rFonts w:hint="eastAsia" w:ascii="宋体" w:hAnsi="宋体" w:eastAsia="宋体" w:cs="宋体"/>
          <w:color w:val="000000" w:themeColor="text1"/>
          <w:kern w:val="0"/>
          <w:sz w:val="24"/>
          <w:szCs w:val="24"/>
          <w:lang w:val="en-US" w:eastAsia="zh-CN"/>
          <w14:textFill>
            <w14:solidFill>
              <w14:schemeClr w14:val="tx1"/>
            </w14:solidFill>
          </w14:textFill>
        </w:rPr>
        <w:t>1</w:t>
      </w:r>
      <w:r>
        <w:rPr>
          <w:rFonts w:hint="eastAsia"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lang w:val="en-US" w:eastAsia="zh-CN"/>
          <w14:textFill>
            <w14:solidFill>
              <w14:schemeClr w14:val="tx1"/>
            </w14:solidFill>
          </w14:textFill>
        </w:rPr>
        <w:t>氨最大排放速率为</w:t>
      </w:r>
      <w:r>
        <w:rPr>
          <w:rFonts w:hint="eastAsia" w:ascii="宋体" w:hAnsi="宋体" w:eastAsia="宋体" w:cs="宋体"/>
          <w:color w:val="000000" w:themeColor="text1"/>
          <w:kern w:val="2"/>
          <w:sz w:val="24"/>
          <w:szCs w:val="24"/>
          <w:lang w:val="en-US" w:eastAsia="zh-CN" w:bidi="ar-SA"/>
          <w14:textFill>
            <w14:solidFill>
              <w14:schemeClr w14:val="tx1"/>
            </w14:solidFill>
          </w14:textFill>
        </w:rPr>
        <w:t>4.10×10</w:t>
      </w:r>
      <w:r>
        <w:rPr>
          <w:rFonts w:hint="eastAsia" w:ascii="宋体" w:hAnsi="宋体" w:eastAsia="宋体" w:cs="宋体"/>
          <w:color w:val="000000" w:themeColor="text1"/>
          <w:kern w:val="2"/>
          <w:sz w:val="24"/>
          <w:szCs w:val="24"/>
          <w:vertAlign w:val="superscript"/>
          <w:lang w:val="en-US" w:eastAsia="zh-CN" w:bidi="ar-SA"/>
          <w14:textFill>
            <w14:solidFill>
              <w14:schemeClr w14:val="tx1"/>
            </w14:solidFill>
          </w14:textFill>
        </w:rPr>
        <w:t>-2</w:t>
      </w:r>
      <w:r>
        <w:rPr>
          <w:rFonts w:hint="eastAsia" w:ascii="宋体" w:hAnsi="宋体" w:eastAsia="宋体" w:cs="宋体"/>
          <w:color w:val="000000" w:themeColor="text1"/>
          <w:kern w:val="0"/>
          <w:sz w:val="24"/>
          <w:szCs w:val="24"/>
          <w14:textFill>
            <w14:solidFill>
              <w14:schemeClr w14:val="tx1"/>
            </w14:solidFill>
          </w14:textFill>
        </w:rPr>
        <w:t>kg/h</w:t>
      </w:r>
      <w:r>
        <w:rPr>
          <w:rFonts w:hint="eastAsia" w:ascii="宋体" w:hAnsi="宋体" w:eastAsia="宋体" w:cs="宋体"/>
          <w:color w:val="000000" w:themeColor="text1"/>
          <w:kern w:val="2"/>
          <w:sz w:val="24"/>
          <w:szCs w:val="24"/>
          <w:vertAlign w:val="baseline"/>
          <w:lang w:val="en-US" w:eastAsia="zh-CN" w:bidi="ar-SA"/>
          <w14:textFill>
            <w14:solidFill>
              <w14:schemeClr w14:val="tx1"/>
            </w14:solidFill>
          </w14:textFill>
        </w:rPr>
        <w:t>、硫化氢</w:t>
      </w:r>
      <w:r>
        <w:rPr>
          <w:rFonts w:hint="eastAsia" w:ascii="宋体" w:hAnsi="宋体" w:eastAsia="宋体" w:cs="宋体"/>
          <w:color w:val="000000" w:themeColor="text1"/>
          <w:kern w:val="0"/>
          <w:sz w:val="24"/>
          <w:szCs w:val="24"/>
          <w:lang w:val="en-US" w:eastAsia="zh-CN"/>
          <w14:textFill>
            <w14:solidFill>
              <w14:schemeClr w14:val="tx1"/>
            </w14:solidFill>
          </w14:textFill>
        </w:rPr>
        <w:t>最大排放速率为0.178</w:t>
      </w:r>
      <w:r>
        <w:rPr>
          <w:rFonts w:hint="eastAsia" w:ascii="宋体" w:hAnsi="宋体" w:eastAsia="宋体" w:cs="宋体"/>
          <w:color w:val="000000" w:themeColor="text1"/>
          <w:kern w:val="0"/>
          <w:sz w:val="24"/>
          <w:szCs w:val="24"/>
          <w14:textFill>
            <w14:solidFill>
              <w14:schemeClr w14:val="tx1"/>
            </w14:solidFill>
          </w14:textFill>
        </w:rPr>
        <w:t>kg/h</w:t>
      </w:r>
      <w:r>
        <w:rPr>
          <w:rFonts w:hint="eastAsia" w:ascii="宋体" w:hAnsi="宋体" w:eastAsia="宋体" w:cs="宋体"/>
          <w:color w:val="000000" w:themeColor="text1"/>
          <w:kern w:val="0"/>
          <w:sz w:val="24"/>
          <w:szCs w:val="24"/>
          <w:lang w:eastAsia="zh-CN"/>
          <w14:textFill>
            <w14:solidFill>
              <w14:schemeClr w14:val="tx1"/>
            </w14:solidFill>
          </w14:textFill>
        </w:rPr>
        <w:t>、</w:t>
      </w:r>
      <w:r>
        <w:rPr>
          <w:rFonts w:hint="eastAsia" w:ascii="宋体" w:hAnsi="宋体" w:eastAsia="宋体" w:cs="宋体"/>
          <w:color w:val="000000" w:themeColor="text1"/>
          <w:kern w:val="0"/>
          <w:sz w:val="24"/>
          <w:szCs w:val="24"/>
          <w:lang w:val="en-US" w:eastAsia="zh-CN"/>
          <w14:textFill>
            <w14:solidFill>
              <w14:schemeClr w14:val="tx1"/>
            </w14:solidFill>
          </w14:textFill>
        </w:rPr>
        <w:t>臭气最大排放浓度为</w:t>
      </w:r>
      <w:r>
        <w:rPr>
          <w:rFonts w:hint="eastAsia" w:ascii="宋体" w:hAnsi="宋体" w:eastAsia="宋体" w:cs="宋体"/>
          <w:color w:val="000000" w:themeColor="text1"/>
          <w:kern w:val="2"/>
          <w:sz w:val="24"/>
          <w:szCs w:val="24"/>
          <w:lang w:val="en-US" w:eastAsia="zh-CN" w:bidi="ar-SA"/>
          <w14:textFill>
            <w14:solidFill>
              <w14:schemeClr w14:val="tx1"/>
            </w14:solidFill>
          </w14:textFill>
        </w:rPr>
        <w:t>550</w:t>
      </w:r>
      <w:r>
        <w:rPr>
          <w:rFonts w:hint="eastAsia"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spacing w:val="-16"/>
          <w:sz w:val="24"/>
          <w:szCs w:val="24"/>
          <w:lang w:val="en-US" w:eastAsia="zh-CN"/>
          <w14:textFill>
            <w14:solidFill>
              <w14:schemeClr w14:val="tx1"/>
            </w14:solidFill>
          </w14:textFill>
        </w:rPr>
        <w:t>无量纲</w:t>
      </w:r>
      <w:r>
        <w:rPr>
          <w:rFonts w:hint="eastAsia"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lang w:eastAsia="zh-CN"/>
          <w14:textFill>
            <w14:solidFill>
              <w14:schemeClr w14:val="tx1"/>
            </w14:solidFill>
          </w14:textFill>
        </w:rPr>
        <w:t>，</w:t>
      </w:r>
      <w:r>
        <w:rPr>
          <w:rFonts w:hint="eastAsia" w:ascii="宋体" w:hAnsi="宋体" w:eastAsia="宋体" w:cs="宋体"/>
          <w:color w:val="000000" w:themeColor="text1"/>
          <w:kern w:val="0"/>
          <w:sz w:val="24"/>
          <w:szCs w:val="24"/>
          <w:lang w:val="en-US" w:eastAsia="zh-CN"/>
          <w14:textFill>
            <w14:solidFill>
              <w14:schemeClr w14:val="tx1"/>
            </w14:solidFill>
          </w14:textFill>
        </w:rPr>
        <w:t>满足</w:t>
      </w:r>
      <w:r>
        <w:rPr>
          <w:rFonts w:hint="eastAsia" w:ascii="宋体" w:hAnsi="宋体" w:eastAsia="宋体" w:cs="宋体"/>
          <w:color w:val="000000" w:themeColor="text1"/>
          <w:kern w:val="0"/>
          <w:sz w:val="24"/>
          <w:szCs w:val="24"/>
          <w:lang w:val="en-US" w:eastAsia="zh-CN" w:bidi="ar-SA"/>
          <w14:textFill>
            <w14:solidFill>
              <w14:schemeClr w14:val="tx1"/>
            </w14:solidFill>
          </w14:textFill>
        </w:rPr>
        <w:t>《恶臭污染物排放标准》（GB14554-93）表 2 排放标准限值要求。</w:t>
      </w:r>
    </w:p>
    <w:p w14:paraId="2A292FC6">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2"/>
        <w:rPr>
          <w:rFonts w:hint="eastAsia" w:ascii="宋体" w:hAnsi="宋体" w:eastAsia="宋体" w:cs="宋体"/>
          <w:b/>
          <w:bCs/>
          <w:color w:val="000000" w:themeColor="text1"/>
          <w:kern w:val="0"/>
          <w:sz w:val="24"/>
          <w:szCs w:val="24"/>
          <w:lang w:val="en-US" w:eastAsia="zh-CN" w:bidi="ar"/>
          <w14:textFill>
            <w14:solidFill>
              <w14:schemeClr w14:val="tx1"/>
            </w14:solidFill>
          </w14:textFill>
        </w:rPr>
      </w:pPr>
      <w:bookmarkStart w:id="69" w:name="_Toc27629"/>
      <w:r>
        <w:rPr>
          <w:rFonts w:hint="eastAsia" w:ascii="宋体" w:hAnsi="宋体" w:eastAsia="宋体" w:cs="宋体"/>
          <w:b/>
          <w:bCs/>
          <w:color w:val="000000" w:themeColor="text1"/>
          <w:kern w:val="0"/>
          <w:sz w:val="24"/>
          <w:szCs w:val="24"/>
          <w:lang w:val="en-US" w:eastAsia="zh-CN" w:bidi="ar"/>
          <w14:textFill>
            <w14:solidFill>
              <w14:schemeClr w14:val="tx1"/>
            </w14:solidFill>
          </w14:textFill>
        </w:rPr>
        <w:t>9.2.2  无组织废气监测结果</w:t>
      </w:r>
      <w:bookmarkEnd w:id="69"/>
    </w:p>
    <w:p w14:paraId="432BACD8">
      <w:pPr>
        <w:pStyle w:val="9"/>
        <w:keepNext w:val="0"/>
        <w:keepLines w:val="0"/>
        <w:pageBreakBefore w:val="0"/>
        <w:widowControl w:val="0"/>
        <w:kinsoku/>
        <w:wordWrap/>
        <w:overflowPunct/>
        <w:topLinePunct w:val="0"/>
        <w:autoSpaceDE/>
        <w:autoSpaceDN/>
        <w:bidi w:val="0"/>
        <w:adjustRightInd/>
        <w:snapToGrid w:val="0"/>
        <w:spacing w:after="0" w:line="360" w:lineRule="auto"/>
        <w:ind w:left="0" w:leftChars="0" w:firstLine="480" w:firstLineChars="200"/>
        <w:jc w:val="both"/>
        <w:textAlignment w:val="auto"/>
        <w:outlineLvl w:val="9"/>
        <w:rPr>
          <w:rFonts w:hint="eastAsia" w:ascii="宋体" w:hAnsi="宋体" w:eastAsia="宋体" w:cs="宋体"/>
          <w:color w:val="000000" w:themeColor="text1"/>
          <w:sz w:val="24"/>
          <w:lang w:val="en-US" w:eastAsia="zh-CN"/>
          <w14:textFill>
            <w14:solidFill>
              <w14:schemeClr w14:val="tx1"/>
            </w14:solidFill>
          </w14:textFill>
        </w:rPr>
        <w:sectPr>
          <w:pgSz w:w="11906" w:h="16838"/>
          <w:pgMar w:top="1440" w:right="1800" w:bottom="1440" w:left="1800" w:header="794" w:footer="1020" w:gutter="0"/>
          <w:pgBorders w:offsetFrom="page">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eastAsia="宋体" w:cs="宋体"/>
          <w:color w:val="000000" w:themeColor="text1"/>
          <w:sz w:val="24"/>
          <w14:textFill>
            <w14:solidFill>
              <w14:schemeClr w14:val="tx1"/>
            </w14:solidFill>
          </w14:textFill>
        </w:rPr>
        <w:t>项目</w:t>
      </w:r>
      <w:r>
        <w:rPr>
          <w:rFonts w:hint="eastAsia" w:ascii="宋体" w:hAnsi="宋体" w:eastAsia="宋体" w:cs="宋体"/>
          <w:color w:val="000000" w:themeColor="text1"/>
          <w:sz w:val="24"/>
          <w:lang w:val="en-US" w:eastAsia="zh-CN"/>
          <w14:textFill>
            <w14:solidFill>
              <w14:schemeClr w14:val="tx1"/>
            </w14:solidFill>
          </w14:textFill>
        </w:rPr>
        <w:t>无</w:t>
      </w:r>
      <w:r>
        <w:rPr>
          <w:rFonts w:hint="eastAsia" w:ascii="宋体" w:hAnsi="宋体" w:eastAsia="宋体" w:cs="宋体"/>
          <w:color w:val="000000" w:themeColor="text1"/>
          <w:sz w:val="24"/>
          <w14:textFill>
            <w14:solidFill>
              <w14:schemeClr w14:val="tx1"/>
            </w14:solidFill>
          </w14:textFill>
        </w:rPr>
        <w:t>组织废气监测结果见表</w:t>
      </w:r>
      <w:r>
        <w:rPr>
          <w:rFonts w:hint="eastAsia" w:ascii="宋体" w:hAnsi="宋体" w:eastAsia="宋体" w:cs="宋体"/>
          <w:color w:val="000000" w:themeColor="text1"/>
          <w:sz w:val="24"/>
          <w:lang w:val="en-US" w:eastAsia="zh-CN"/>
          <w14:textFill>
            <w14:solidFill>
              <w14:schemeClr w14:val="tx1"/>
            </w14:solidFill>
          </w14:textFill>
        </w:rPr>
        <w:t>9</w:t>
      </w:r>
      <w:r>
        <w:rPr>
          <w:rFonts w:hint="eastAsia" w:ascii="宋体" w:hAnsi="宋体" w:cs="宋体"/>
          <w:color w:val="000000" w:themeColor="text1"/>
          <w:sz w:val="24"/>
          <w:lang w:val="en-US" w:eastAsia="zh-CN"/>
          <w14:textFill>
            <w14:solidFill>
              <w14:schemeClr w14:val="tx1"/>
            </w14:solidFill>
          </w14:textFill>
        </w:rPr>
        <w:t>.2-2</w:t>
      </w:r>
      <w:r>
        <w:rPr>
          <w:rFonts w:hint="eastAsia" w:ascii="宋体" w:hAnsi="宋体" w:eastAsia="宋体" w:cs="宋体"/>
          <w:color w:val="000000" w:themeColor="text1"/>
          <w:sz w:val="24"/>
          <w:lang w:val="en-US" w:eastAsia="zh-CN"/>
          <w14:textFill>
            <w14:solidFill>
              <w14:schemeClr w14:val="tx1"/>
            </w14:solidFill>
          </w14:textFill>
        </w:rPr>
        <w:t>。</w:t>
      </w:r>
    </w:p>
    <w:p w14:paraId="242012B5">
      <w:pPr>
        <w:pStyle w:val="35"/>
        <w:keepNext w:val="0"/>
        <w:keepLines w:val="0"/>
        <w:pageBreakBefore w:val="0"/>
        <w:widowControl w:val="0"/>
        <w:kinsoku/>
        <w:wordWrap/>
        <w:overflowPunct w:val="0"/>
        <w:topLinePunct w:val="0"/>
        <w:autoSpaceDE w:val="0"/>
        <w:autoSpaceDN w:val="0"/>
        <w:bidi w:val="0"/>
        <w:adjustRightInd w:val="0"/>
        <w:snapToGrid/>
        <w:spacing w:before="0" w:after="0"/>
        <w:textAlignment w:val="baseline"/>
        <w:rPr>
          <w:rFonts w:hint="eastAsia" w:ascii="宋体" w:hAnsi="宋体" w:eastAsia="宋体" w:cs="宋体"/>
          <w:bCs w:val="0"/>
          <w:lang w:val="en-US" w:eastAsia="zh-CN"/>
        </w:rPr>
      </w:pPr>
      <w:r>
        <w:rPr>
          <w:rFonts w:hint="eastAsia" w:ascii="宋体" w:hAnsi="宋体" w:eastAsia="宋体" w:cs="宋体"/>
          <w:bCs w:val="0"/>
          <w:lang w:val="en-US" w:eastAsia="zh-CN"/>
        </w:rPr>
        <w:t>表9.2-2  无组织</w:t>
      </w:r>
      <w:r>
        <w:rPr>
          <w:rFonts w:hint="eastAsia" w:cs="宋体"/>
          <w:bCs w:val="0"/>
          <w:lang w:val="en-US" w:eastAsia="zh-CN"/>
        </w:rPr>
        <w:t>监测</w:t>
      </w:r>
      <w:r>
        <w:rPr>
          <w:rFonts w:hint="eastAsia" w:ascii="宋体" w:hAnsi="宋体" w:eastAsia="宋体" w:cs="宋体"/>
          <w:bCs w:val="0"/>
          <w:lang w:val="en-US" w:eastAsia="zh-CN"/>
        </w:rPr>
        <w:t>结果</w:t>
      </w:r>
    </w:p>
    <w:tbl>
      <w:tblPr>
        <w:tblStyle w:val="19"/>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2"/>
        <w:gridCol w:w="1232"/>
        <w:gridCol w:w="1839"/>
        <w:gridCol w:w="14"/>
        <w:gridCol w:w="1825"/>
        <w:gridCol w:w="28"/>
        <w:gridCol w:w="1796"/>
        <w:gridCol w:w="57"/>
        <w:gridCol w:w="1771"/>
        <w:gridCol w:w="82"/>
        <w:gridCol w:w="1740"/>
        <w:gridCol w:w="113"/>
        <w:gridCol w:w="1864"/>
      </w:tblGrid>
      <w:tr w14:paraId="433265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071" w:type="pct"/>
            <w:gridSpan w:val="2"/>
            <w:noWrap w:val="0"/>
            <w:vAlign w:val="center"/>
          </w:tcPr>
          <w:p w14:paraId="1DEB488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采样日期</w:t>
            </w:r>
          </w:p>
        </w:tc>
        <w:tc>
          <w:tcPr>
            <w:tcW w:w="3928" w:type="pct"/>
            <w:gridSpan w:val="11"/>
            <w:noWrap w:val="0"/>
            <w:vAlign w:val="center"/>
          </w:tcPr>
          <w:p w14:paraId="2315C8C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2025年02月13日</w:t>
            </w:r>
          </w:p>
        </w:tc>
      </w:tr>
      <w:tr w14:paraId="2E78FC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 w:hRule="atLeast"/>
          <w:jc w:val="center"/>
        </w:trPr>
        <w:tc>
          <w:tcPr>
            <w:tcW w:w="636" w:type="pct"/>
            <w:vMerge w:val="restart"/>
            <w:tcBorders>
              <w:right w:val="single" w:color="auto" w:sz="4" w:space="0"/>
            </w:tcBorders>
            <w:noWrap w:val="0"/>
            <w:vAlign w:val="center"/>
          </w:tcPr>
          <w:p w14:paraId="1749E1B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检测项目</w:t>
            </w:r>
          </w:p>
        </w:tc>
        <w:tc>
          <w:tcPr>
            <w:tcW w:w="434" w:type="pct"/>
            <w:vMerge w:val="restart"/>
            <w:tcBorders>
              <w:left w:val="single" w:color="auto" w:sz="4" w:space="0"/>
            </w:tcBorders>
            <w:noWrap w:val="0"/>
            <w:vAlign w:val="center"/>
          </w:tcPr>
          <w:p w14:paraId="1EB8E02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采样频次</w:t>
            </w:r>
          </w:p>
        </w:tc>
        <w:tc>
          <w:tcPr>
            <w:tcW w:w="3928" w:type="pct"/>
            <w:gridSpan w:val="11"/>
            <w:noWrap w:val="0"/>
            <w:vAlign w:val="center"/>
          </w:tcPr>
          <w:p w14:paraId="3A6CD1D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采样点位及结果</w:t>
            </w:r>
          </w:p>
        </w:tc>
      </w:tr>
      <w:tr w14:paraId="2F44C9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pct"/>
            <w:vMerge w:val="continue"/>
            <w:tcBorders>
              <w:right w:val="single" w:color="auto" w:sz="4" w:space="0"/>
            </w:tcBorders>
            <w:noWrap w:val="0"/>
            <w:vAlign w:val="center"/>
          </w:tcPr>
          <w:p w14:paraId="32EA99F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sz w:val="21"/>
                <w:szCs w:val="21"/>
              </w:rPr>
            </w:pPr>
          </w:p>
        </w:tc>
        <w:tc>
          <w:tcPr>
            <w:tcW w:w="434" w:type="pct"/>
            <w:vMerge w:val="continue"/>
            <w:tcBorders>
              <w:left w:val="single" w:color="auto" w:sz="4" w:space="0"/>
            </w:tcBorders>
            <w:noWrap w:val="0"/>
            <w:vAlign w:val="center"/>
          </w:tcPr>
          <w:p w14:paraId="7FE905E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sz w:val="21"/>
                <w:szCs w:val="21"/>
              </w:rPr>
            </w:pPr>
          </w:p>
        </w:tc>
        <w:tc>
          <w:tcPr>
            <w:tcW w:w="649" w:type="pct"/>
            <w:noWrap w:val="0"/>
            <w:vAlign w:val="center"/>
          </w:tcPr>
          <w:p w14:paraId="0A4BAE8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rPr>
              <w:t>上风向</w:t>
            </w:r>
            <w:r>
              <w:rPr>
                <w:rFonts w:hint="eastAsia" w:ascii="宋体" w:hAnsi="宋体" w:eastAsia="宋体" w:cs="宋体"/>
                <w:b/>
                <w:bCs/>
                <w:color w:val="000000"/>
                <w:sz w:val="21"/>
                <w:szCs w:val="21"/>
                <w:lang w:val="en-US" w:eastAsia="zh-CN"/>
              </w:rPr>
              <w:t>G1</w:t>
            </w:r>
          </w:p>
        </w:tc>
        <w:tc>
          <w:tcPr>
            <w:tcW w:w="649" w:type="pct"/>
            <w:gridSpan w:val="2"/>
            <w:noWrap w:val="0"/>
            <w:vAlign w:val="center"/>
          </w:tcPr>
          <w:p w14:paraId="61C9713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rPr>
              <w:t>下风向</w:t>
            </w:r>
            <w:r>
              <w:rPr>
                <w:rFonts w:hint="eastAsia" w:ascii="宋体" w:hAnsi="宋体" w:eastAsia="宋体" w:cs="宋体"/>
                <w:b/>
                <w:bCs/>
                <w:color w:val="000000"/>
                <w:sz w:val="21"/>
                <w:szCs w:val="21"/>
                <w:lang w:val="en-US" w:eastAsia="zh-CN"/>
              </w:rPr>
              <w:t>G2</w:t>
            </w:r>
          </w:p>
        </w:tc>
        <w:tc>
          <w:tcPr>
            <w:tcW w:w="644" w:type="pct"/>
            <w:gridSpan w:val="2"/>
            <w:noWrap w:val="0"/>
            <w:vAlign w:val="center"/>
          </w:tcPr>
          <w:p w14:paraId="6ED9921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rPr>
              <w:t>下风向</w:t>
            </w:r>
            <w:r>
              <w:rPr>
                <w:rFonts w:hint="eastAsia" w:ascii="宋体" w:hAnsi="宋体" w:eastAsia="宋体" w:cs="宋体"/>
                <w:b/>
                <w:bCs/>
                <w:color w:val="000000"/>
                <w:sz w:val="21"/>
                <w:szCs w:val="21"/>
                <w:lang w:val="en-US" w:eastAsia="zh-CN"/>
              </w:rPr>
              <w:t>G3</w:t>
            </w:r>
          </w:p>
        </w:tc>
        <w:tc>
          <w:tcPr>
            <w:tcW w:w="645" w:type="pct"/>
            <w:gridSpan w:val="2"/>
            <w:noWrap w:val="0"/>
            <w:vAlign w:val="center"/>
          </w:tcPr>
          <w:p w14:paraId="1A5A4E8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rPr>
              <w:t>下风向</w:t>
            </w:r>
            <w:r>
              <w:rPr>
                <w:rFonts w:hint="eastAsia" w:ascii="宋体" w:hAnsi="宋体" w:eastAsia="宋体" w:cs="宋体"/>
                <w:b/>
                <w:bCs/>
                <w:color w:val="000000"/>
                <w:sz w:val="21"/>
                <w:szCs w:val="21"/>
                <w:lang w:val="en-US" w:eastAsia="zh-CN"/>
              </w:rPr>
              <w:t>G4</w:t>
            </w:r>
          </w:p>
        </w:tc>
        <w:tc>
          <w:tcPr>
            <w:tcW w:w="643" w:type="pct"/>
            <w:gridSpan w:val="2"/>
            <w:shd w:val="clear" w:color="auto" w:fill="auto"/>
            <w:noWrap w:val="0"/>
            <w:vAlign w:val="center"/>
          </w:tcPr>
          <w:p w14:paraId="06530A4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安王村G5</w:t>
            </w:r>
          </w:p>
        </w:tc>
        <w:tc>
          <w:tcPr>
            <w:tcW w:w="696" w:type="pct"/>
            <w:gridSpan w:val="2"/>
            <w:shd w:val="clear" w:color="auto" w:fill="auto"/>
            <w:noWrap w:val="0"/>
            <w:vAlign w:val="center"/>
          </w:tcPr>
          <w:p w14:paraId="2AB4646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太阳泵站G7</w:t>
            </w:r>
          </w:p>
        </w:tc>
      </w:tr>
      <w:tr w14:paraId="34A013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pct"/>
            <w:vMerge w:val="restart"/>
            <w:tcBorders>
              <w:right w:val="single" w:color="auto" w:sz="4" w:space="0"/>
            </w:tcBorders>
            <w:noWrap w:val="0"/>
            <w:vAlign w:val="center"/>
          </w:tcPr>
          <w:p w14:paraId="018CC83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rPr>
            </w:pPr>
            <w:r>
              <w:rPr>
                <w:rFonts w:hint="eastAsia" w:ascii="宋体" w:hAnsi="宋体" w:eastAsia="宋体" w:cs="宋体"/>
                <w:color w:val="000000"/>
                <w:sz w:val="21"/>
                <w:szCs w:val="21"/>
                <w:lang w:val="en-US" w:eastAsia="zh-CN"/>
              </w:rPr>
              <w:t>氨</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mg</w:t>
            </w:r>
            <w:r>
              <w:rPr>
                <w:rFonts w:hint="eastAsia" w:ascii="宋体" w:hAnsi="宋体" w:eastAsia="宋体" w:cs="宋体"/>
                <w:sz w:val="21"/>
                <w:szCs w:val="21"/>
                <w:highlight w:val="none"/>
              </w:rPr>
              <w:t>/m</w:t>
            </w:r>
            <w:r>
              <w:rPr>
                <w:rFonts w:hint="eastAsia" w:ascii="宋体" w:hAnsi="宋体" w:eastAsia="宋体" w:cs="宋体"/>
                <w:sz w:val="21"/>
                <w:szCs w:val="21"/>
                <w:highlight w:val="none"/>
                <w:vertAlign w:val="superscript"/>
              </w:rPr>
              <w:t>3</w:t>
            </w:r>
            <w:r>
              <w:rPr>
                <w:rFonts w:hint="eastAsia" w:ascii="宋体" w:hAnsi="宋体" w:eastAsia="宋体" w:cs="宋体"/>
                <w:sz w:val="21"/>
                <w:szCs w:val="21"/>
                <w:highlight w:val="none"/>
              </w:rPr>
              <w:t>）</w:t>
            </w:r>
          </w:p>
        </w:tc>
        <w:tc>
          <w:tcPr>
            <w:tcW w:w="434" w:type="pct"/>
            <w:tcBorders>
              <w:left w:val="single" w:color="auto" w:sz="4" w:space="0"/>
            </w:tcBorders>
            <w:noWrap w:val="0"/>
            <w:vAlign w:val="center"/>
          </w:tcPr>
          <w:p w14:paraId="5D7A101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第一次</w:t>
            </w:r>
          </w:p>
        </w:tc>
        <w:tc>
          <w:tcPr>
            <w:tcW w:w="649" w:type="pct"/>
            <w:noWrap w:val="0"/>
            <w:vAlign w:val="center"/>
          </w:tcPr>
          <w:p w14:paraId="413A7112">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0.29</w:t>
            </w:r>
          </w:p>
        </w:tc>
        <w:tc>
          <w:tcPr>
            <w:tcW w:w="649" w:type="pct"/>
            <w:gridSpan w:val="2"/>
            <w:noWrap w:val="0"/>
            <w:vAlign w:val="center"/>
          </w:tcPr>
          <w:p w14:paraId="51D83F8B">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0.52</w:t>
            </w:r>
          </w:p>
        </w:tc>
        <w:tc>
          <w:tcPr>
            <w:tcW w:w="644" w:type="pct"/>
            <w:gridSpan w:val="2"/>
            <w:noWrap w:val="0"/>
            <w:vAlign w:val="center"/>
          </w:tcPr>
          <w:p w14:paraId="2CD5A28E">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0.73</w:t>
            </w:r>
          </w:p>
        </w:tc>
        <w:tc>
          <w:tcPr>
            <w:tcW w:w="645" w:type="pct"/>
            <w:gridSpan w:val="2"/>
            <w:noWrap w:val="0"/>
            <w:vAlign w:val="center"/>
          </w:tcPr>
          <w:p w14:paraId="413EE4F1">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0.52</w:t>
            </w:r>
          </w:p>
        </w:tc>
        <w:tc>
          <w:tcPr>
            <w:tcW w:w="643" w:type="pct"/>
            <w:gridSpan w:val="2"/>
            <w:noWrap w:val="0"/>
            <w:vAlign w:val="center"/>
          </w:tcPr>
          <w:p w14:paraId="2A5B815D">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0.29</w:t>
            </w:r>
          </w:p>
        </w:tc>
        <w:tc>
          <w:tcPr>
            <w:tcW w:w="696" w:type="pct"/>
            <w:gridSpan w:val="2"/>
            <w:noWrap w:val="0"/>
            <w:vAlign w:val="center"/>
          </w:tcPr>
          <w:p w14:paraId="4AEBDDEF">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0.73</w:t>
            </w:r>
          </w:p>
        </w:tc>
      </w:tr>
      <w:tr w14:paraId="6C00D0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pct"/>
            <w:vMerge w:val="continue"/>
            <w:tcBorders>
              <w:right w:val="single" w:color="auto" w:sz="4" w:space="0"/>
            </w:tcBorders>
            <w:noWrap w:val="0"/>
            <w:vAlign w:val="center"/>
          </w:tcPr>
          <w:p w14:paraId="00A7AD4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rPr>
            </w:pPr>
          </w:p>
        </w:tc>
        <w:tc>
          <w:tcPr>
            <w:tcW w:w="434" w:type="pct"/>
            <w:tcBorders>
              <w:left w:val="single" w:color="auto" w:sz="4" w:space="0"/>
            </w:tcBorders>
            <w:noWrap w:val="0"/>
            <w:vAlign w:val="center"/>
          </w:tcPr>
          <w:p w14:paraId="792BE83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第二次</w:t>
            </w:r>
          </w:p>
        </w:tc>
        <w:tc>
          <w:tcPr>
            <w:tcW w:w="649" w:type="pct"/>
            <w:noWrap w:val="0"/>
            <w:vAlign w:val="center"/>
          </w:tcPr>
          <w:p w14:paraId="549BA128">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0.28</w:t>
            </w:r>
          </w:p>
        </w:tc>
        <w:tc>
          <w:tcPr>
            <w:tcW w:w="649" w:type="pct"/>
            <w:gridSpan w:val="2"/>
            <w:noWrap w:val="0"/>
            <w:vAlign w:val="center"/>
          </w:tcPr>
          <w:p w14:paraId="4539A5C7">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0.53</w:t>
            </w:r>
          </w:p>
        </w:tc>
        <w:tc>
          <w:tcPr>
            <w:tcW w:w="644" w:type="pct"/>
            <w:gridSpan w:val="2"/>
            <w:noWrap w:val="0"/>
            <w:vAlign w:val="center"/>
          </w:tcPr>
          <w:p w14:paraId="5B46E525">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0.76</w:t>
            </w:r>
          </w:p>
        </w:tc>
        <w:tc>
          <w:tcPr>
            <w:tcW w:w="645" w:type="pct"/>
            <w:gridSpan w:val="2"/>
            <w:noWrap w:val="0"/>
            <w:vAlign w:val="center"/>
          </w:tcPr>
          <w:p w14:paraId="1F9A0D5F">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0.54</w:t>
            </w:r>
          </w:p>
        </w:tc>
        <w:tc>
          <w:tcPr>
            <w:tcW w:w="643" w:type="pct"/>
            <w:gridSpan w:val="2"/>
            <w:noWrap w:val="0"/>
            <w:vAlign w:val="center"/>
          </w:tcPr>
          <w:p w14:paraId="68A64EFD">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0.53</w:t>
            </w:r>
          </w:p>
        </w:tc>
        <w:tc>
          <w:tcPr>
            <w:tcW w:w="696" w:type="pct"/>
            <w:gridSpan w:val="2"/>
            <w:noWrap w:val="0"/>
            <w:vAlign w:val="center"/>
          </w:tcPr>
          <w:p w14:paraId="0C67FF63">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0.53</w:t>
            </w:r>
          </w:p>
        </w:tc>
      </w:tr>
      <w:tr w14:paraId="022497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pct"/>
            <w:vMerge w:val="continue"/>
            <w:tcBorders>
              <w:right w:val="single" w:color="auto" w:sz="4" w:space="0"/>
            </w:tcBorders>
            <w:noWrap w:val="0"/>
            <w:vAlign w:val="center"/>
          </w:tcPr>
          <w:p w14:paraId="3142D81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rPr>
            </w:pPr>
          </w:p>
        </w:tc>
        <w:tc>
          <w:tcPr>
            <w:tcW w:w="434" w:type="pct"/>
            <w:tcBorders>
              <w:left w:val="single" w:color="auto" w:sz="4" w:space="0"/>
            </w:tcBorders>
            <w:noWrap w:val="0"/>
            <w:vAlign w:val="center"/>
          </w:tcPr>
          <w:p w14:paraId="61E50C9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第三次</w:t>
            </w:r>
          </w:p>
        </w:tc>
        <w:tc>
          <w:tcPr>
            <w:tcW w:w="649" w:type="pct"/>
            <w:noWrap w:val="0"/>
            <w:vAlign w:val="center"/>
          </w:tcPr>
          <w:p w14:paraId="60FEF092">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0.29</w:t>
            </w:r>
          </w:p>
        </w:tc>
        <w:tc>
          <w:tcPr>
            <w:tcW w:w="649" w:type="pct"/>
            <w:gridSpan w:val="2"/>
            <w:noWrap w:val="0"/>
            <w:vAlign w:val="center"/>
          </w:tcPr>
          <w:p w14:paraId="73E62A74">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0.53</w:t>
            </w:r>
          </w:p>
        </w:tc>
        <w:tc>
          <w:tcPr>
            <w:tcW w:w="644" w:type="pct"/>
            <w:gridSpan w:val="2"/>
            <w:noWrap w:val="0"/>
            <w:vAlign w:val="center"/>
          </w:tcPr>
          <w:p w14:paraId="3635C0AA">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0.75</w:t>
            </w:r>
          </w:p>
        </w:tc>
        <w:tc>
          <w:tcPr>
            <w:tcW w:w="645" w:type="pct"/>
            <w:gridSpan w:val="2"/>
            <w:noWrap w:val="0"/>
            <w:vAlign w:val="center"/>
          </w:tcPr>
          <w:p w14:paraId="6A0CE4E2">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0.52</w:t>
            </w:r>
          </w:p>
        </w:tc>
        <w:tc>
          <w:tcPr>
            <w:tcW w:w="643" w:type="pct"/>
            <w:gridSpan w:val="2"/>
            <w:noWrap w:val="0"/>
            <w:vAlign w:val="center"/>
          </w:tcPr>
          <w:p w14:paraId="582A81FD">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0.75</w:t>
            </w:r>
          </w:p>
        </w:tc>
        <w:tc>
          <w:tcPr>
            <w:tcW w:w="696" w:type="pct"/>
            <w:gridSpan w:val="2"/>
            <w:noWrap w:val="0"/>
            <w:vAlign w:val="center"/>
          </w:tcPr>
          <w:p w14:paraId="01FA94DB">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0.30</w:t>
            </w:r>
          </w:p>
        </w:tc>
      </w:tr>
      <w:tr w14:paraId="4405AA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pct"/>
            <w:vMerge w:val="restart"/>
            <w:tcBorders>
              <w:right w:val="single" w:color="auto" w:sz="4" w:space="0"/>
            </w:tcBorders>
            <w:noWrap w:val="0"/>
            <w:vAlign w:val="center"/>
          </w:tcPr>
          <w:p w14:paraId="4622CAF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rPr>
            </w:pPr>
            <w:r>
              <w:rPr>
                <w:rFonts w:hint="eastAsia" w:ascii="宋体" w:hAnsi="宋体" w:eastAsia="宋体" w:cs="宋体"/>
                <w:color w:val="000000"/>
                <w:sz w:val="21"/>
                <w:szCs w:val="21"/>
                <w:lang w:val="en-US" w:eastAsia="zh-CN"/>
              </w:rPr>
              <w:t>硫化氢</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mg</w:t>
            </w:r>
            <w:r>
              <w:rPr>
                <w:rFonts w:hint="eastAsia" w:ascii="宋体" w:hAnsi="宋体" w:eastAsia="宋体" w:cs="宋体"/>
                <w:sz w:val="21"/>
                <w:szCs w:val="21"/>
                <w:highlight w:val="none"/>
              </w:rPr>
              <w:t>/m</w:t>
            </w:r>
            <w:r>
              <w:rPr>
                <w:rFonts w:hint="eastAsia" w:ascii="宋体" w:hAnsi="宋体" w:eastAsia="宋体" w:cs="宋体"/>
                <w:sz w:val="21"/>
                <w:szCs w:val="21"/>
                <w:highlight w:val="none"/>
                <w:vertAlign w:val="superscript"/>
              </w:rPr>
              <w:t>3</w:t>
            </w:r>
            <w:r>
              <w:rPr>
                <w:rFonts w:hint="eastAsia" w:ascii="宋体" w:hAnsi="宋体" w:eastAsia="宋体" w:cs="宋体"/>
                <w:sz w:val="21"/>
                <w:szCs w:val="21"/>
                <w:highlight w:val="none"/>
              </w:rPr>
              <w:t>）</w:t>
            </w:r>
          </w:p>
        </w:tc>
        <w:tc>
          <w:tcPr>
            <w:tcW w:w="434" w:type="pct"/>
            <w:tcBorders>
              <w:left w:val="single" w:color="auto" w:sz="4" w:space="0"/>
            </w:tcBorders>
            <w:noWrap w:val="0"/>
            <w:vAlign w:val="center"/>
          </w:tcPr>
          <w:p w14:paraId="52FB0A0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第一次</w:t>
            </w:r>
          </w:p>
        </w:tc>
        <w:tc>
          <w:tcPr>
            <w:tcW w:w="649" w:type="pct"/>
            <w:noWrap w:val="0"/>
            <w:vAlign w:val="center"/>
          </w:tcPr>
          <w:p w14:paraId="484397AF">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0.002</w:t>
            </w:r>
          </w:p>
        </w:tc>
        <w:tc>
          <w:tcPr>
            <w:tcW w:w="649" w:type="pct"/>
            <w:gridSpan w:val="2"/>
            <w:noWrap w:val="0"/>
            <w:vAlign w:val="center"/>
          </w:tcPr>
          <w:p w14:paraId="7ABCD1E0">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0.007</w:t>
            </w:r>
          </w:p>
        </w:tc>
        <w:tc>
          <w:tcPr>
            <w:tcW w:w="644" w:type="pct"/>
            <w:gridSpan w:val="2"/>
            <w:noWrap w:val="0"/>
            <w:vAlign w:val="center"/>
          </w:tcPr>
          <w:p w14:paraId="68B5CE51">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0.012</w:t>
            </w:r>
          </w:p>
        </w:tc>
        <w:tc>
          <w:tcPr>
            <w:tcW w:w="645" w:type="pct"/>
            <w:gridSpan w:val="2"/>
            <w:noWrap w:val="0"/>
            <w:vAlign w:val="center"/>
          </w:tcPr>
          <w:p w14:paraId="190E22FB">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0.007</w:t>
            </w:r>
          </w:p>
        </w:tc>
        <w:tc>
          <w:tcPr>
            <w:tcW w:w="643" w:type="pct"/>
            <w:gridSpan w:val="2"/>
            <w:noWrap w:val="0"/>
            <w:vAlign w:val="center"/>
          </w:tcPr>
          <w:p w14:paraId="79EFDB89">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0.003</w:t>
            </w:r>
          </w:p>
        </w:tc>
        <w:tc>
          <w:tcPr>
            <w:tcW w:w="696" w:type="pct"/>
            <w:gridSpan w:val="2"/>
            <w:noWrap w:val="0"/>
            <w:vAlign w:val="center"/>
          </w:tcPr>
          <w:p w14:paraId="78A62100">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0.003</w:t>
            </w:r>
          </w:p>
        </w:tc>
      </w:tr>
      <w:tr w14:paraId="1EB148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36" w:type="pct"/>
            <w:vMerge w:val="continue"/>
            <w:tcBorders>
              <w:right w:val="single" w:color="auto" w:sz="4" w:space="0"/>
            </w:tcBorders>
            <w:noWrap w:val="0"/>
            <w:vAlign w:val="center"/>
          </w:tcPr>
          <w:p w14:paraId="796BC05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rPr>
            </w:pPr>
          </w:p>
        </w:tc>
        <w:tc>
          <w:tcPr>
            <w:tcW w:w="434" w:type="pct"/>
            <w:tcBorders>
              <w:left w:val="single" w:color="auto" w:sz="4" w:space="0"/>
            </w:tcBorders>
            <w:noWrap w:val="0"/>
            <w:vAlign w:val="center"/>
          </w:tcPr>
          <w:p w14:paraId="076CEEC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第二次</w:t>
            </w:r>
          </w:p>
        </w:tc>
        <w:tc>
          <w:tcPr>
            <w:tcW w:w="649" w:type="pct"/>
            <w:noWrap w:val="0"/>
            <w:vAlign w:val="center"/>
          </w:tcPr>
          <w:p w14:paraId="49C257DB">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0.005</w:t>
            </w:r>
          </w:p>
        </w:tc>
        <w:tc>
          <w:tcPr>
            <w:tcW w:w="649" w:type="pct"/>
            <w:gridSpan w:val="2"/>
            <w:noWrap w:val="0"/>
            <w:vAlign w:val="center"/>
          </w:tcPr>
          <w:p w14:paraId="22934F7D">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0.010</w:t>
            </w:r>
          </w:p>
        </w:tc>
        <w:tc>
          <w:tcPr>
            <w:tcW w:w="644" w:type="pct"/>
            <w:gridSpan w:val="2"/>
            <w:noWrap w:val="0"/>
            <w:vAlign w:val="center"/>
          </w:tcPr>
          <w:p w14:paraId="534B1BE0">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0.013</w:t>
            </w:r>
          </w:p>
        </w:tc>
        <w:tc>
          <w:tcPr>
            <w:tcW w:w="645" w:type="pct"/>
            <w:gridSpan w:val="2"/>
            <w:noWrap w:val="0"/>
            <w:vAlign w:val="center"/>
          </w:tcPr>
          <w:p w14:paraId="51B4176D">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0.010</w:t>
            </w:r>
          </w:p>
        </w:tc>
        <w:tc>
          <w:tcPr>
            <w:tcW w:w="643" w:type="pct"/>
            <w:gridSpan w:val="2"/>
            <w:noWrap w:val="0"/>
            <w:vAlign w:val="center"/>
          </w:tcPr>
          <w:p w14:paraId="6C760CA8">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0.003</w:t>
            </w:r>
          </w:p>
        </w:tc>
        <w:tc>
          <w:tcPr>
            <w:tcW w:w="696" w:type="pct"/>
            <w:gridSpan w:val="2"/>
            <w:noWrap w:val="0"/>
            <w:vAlign w:val="center"/>
          </w:tcPr>
          <w:p w14:paraId="00327C1A">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0.005</w:t>
            </w:r>
          </w:p>
        </w:tc>
      </w:tr>
      <w:tr w14:paraId="583D71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pct"/>
            <w:vMerge w:val="continue"/>
            <w:tcBorders>
              <w:right w:val="single" w:color="auto" w:sz="4" w:space="0"/>
            </w:tcBorders>
            <w:noWrap w:val="0"/>
            <w:vAlign w:val="center"/>
          </w:tcPr>
          <w:p w14:paraId="7F8348D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rPr>
            </w:pPr>
          </w:p>
        </w:tc>
        <w:tc>
          <w:tcPr>
            <w:tcW w:w="434" w:type="pct"/>
            <w:tcBorders>
              <w:left w:val="single" w:color="auto" w:sz="4" w:space="0"/>
            </w:tcBorders>
            <w:noWrap w:val="0"/>
            <w:vAlign w:val="center"/>
          </w:tcPr>
          <w:p w14:paraId="4447D9B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第三次</w:t>
            </w:r>
          </w:p>
        </w:tc>
        <w:tc>
          <w:tcPr>
            <w:tcW w:w="649" w:type="pct"/>
            <w:noWrap w:val="0"/>
            <w:vAlign w:val="center"/>
          </w:tcPr>
          <w:p w14:paraId="14E58CF5">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0.003</w:t>
            </w:r>
          </w:p>
        </w:tc>
        <w:tc>
          <w:tcPr>
            <w:tcW w:w="649" w:type="pct"/>
            <w:gridSpan w:val="2"/>
            <w:noWrap w:val="0"/>
            <w:vAlign w:val="center"/>
          </w:tcPr>
          <w:p w14:paraId="7AD5C4D8">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0.009</w:t>
            </w:r>
          </w:p>
        </w:tc>
        <w:tc>
          <w:tcPr>
            <w:tcW w:w="644" w:type="pct"/>
            <w:gridSpan w:val="2"/>
            <w:noWrap w:val="0"/>
            <w:vAlign w:val="center"/>
          </w:tcPr>
          <w:p w14:paraId="56C08580">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0.014</w:t>
            </w:r>
          </w:p>
        </w:tc>
        <w:tc>
          <w:tcPr>
            <w:tcW w:w="645" w:type="pct"/>
            <w:gridSpan w:val="2"/>
            <w:noWrap w:val="0"/>
            <w:vAlign w:val="center"/>
          </w:tcPr>
          <w:p w14:paraId="4F83532A">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0.008</w:t>
            </w:r>
          </w:p>
        </w:tc>
        <w:tc>
          <w:tcPr>
            <w:tcW w:w="643" w:type="pct"/>
            <w:gridSpan w:val="2"/>
            <w:noWrap w:val="0"/>
            <w:vAlign w:val="center"/>
          </w:tcPr>
          <w:p w14:paraId="39D01CC0">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0.004</w:t>
            </w:r>
          </w:p>
        </w:tc>
        <w:tc>
          <w:tcPr>
            <w:tcW w:w="696" w:type="pct"/>
            <w:gridSpan w:val="2"/>
            <w:noWrap w:val="0"/>
            <w:vAlign w:val="center"/>
          </w:tcPr>
          <w:p w14:paraId="5932E270">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0.003</w:t>
            </w:r>
          </w:p>
        </w:tc>
      </w:tr>
      <w:tr w14:paraId="083B4E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pct"/>
            <w:vMerge w:val="restart"/>
            <w:tcBorders>
              <w:right w:val="single" w:color="auto" w:sz="4" w:space="0"/>
            </w:tcBorders>
            <w:noWrap w:val="0"/>
            <w:vAlign w:val="center"/>
          </w:tcPr>
          <w:p w14:paraId="2D4B7AC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rPr>
            </w:pPr>
            <w:r>
              <w:rPr>
                <w:rFonts w:hint="eastAsia" w:ascii="宋体" w:hAnsi="宋体" w:eastAsia="宋体" w:cs="宋体"/>
                <w:sz w:val="21"/>
                <w:szCs w:val="21"/>
                <w:highlight w:val="none"/>
                <w:lang w:val="en-US" w:eastAsia="zh-CN"/>
              </w:rPr>
              <w:t>臭气</w:t>
            </w:r>
            <w:r>
              <w:rPr>
                <w:rFonts w:hint="eastAsia" w:ascii="宋体" w:hAnsi="宋体" w:eastAsia="宋体" w:cs="宋体"/>
                <w:color w:val="auto"/>
                <w:kern w:val="0"/>
                <w:sz w:val="21"/>
                <w:szCs w:val="21"/>
                <w:lang w:val="en-US" w:eastAsia="zh-CN"/>
              </w:rPr>
              <w:t>(</w:t>
            </w:r>
            <w:r>
              <w:rPr>
                <w:rFonts w:hint="eastAsia" w:ascii="宋体" w:hAnsi="宋体" w:eastAsia="宋体" w:cs="宋体"/>
                <w:color w:val="auto"/>
                <w:sz w:val="21"/>
                <w:szCs w:val="21"/>
                <w:lang w:val="en-US" w:eastAsia="zh-CN"/>
              </w:rPr>
              <w:t>无量纲</w:t>
            </w:r>
            <w:r>
              <w:rPr>
                <w:rFonts w:hint="eastAsia" w:ascii="宋体" w:hAnsi="宋体" w:eastAsia="宋体" w:cs="宋体"/>
                <w:color w:val="auto"/>
                <w:kern w:val="0"/>
                <w:sz w:val="21"/>
                <w:szCs w:val="21"/>
                <w:lang w:val="en-US" w:eastAsia="zh-CN"/>
              </w:rPr>
              <w:t>)</w:t>
            </w:r>
          </w:p>
        </w:tc>
        <w:tc>
          <w:tcPr>
            <w:tcW w:w="434" w:type="pct"/>
            <w:tcBorders>
              <w:left w:val="single" w:color="auto" w:sz="4" w:space="0"/>
            </w:tcBorders>
            <w:noWrap w:val="0"/>
            <w:vAlign w:val="center"/>
          </w:tcPr>
          <w:p w14:paraId="4DD3180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第一次</w:t>
            </w:r>
          </w:p>
        </w:tc>
        <w:tc>
          <w:tcPr>
            <w:tcW w:w="1839" w:type="dxa"/>
            <w:noWrap w:val="0"/>
            <w:vAlign w:val="center"/>
          </w:tcPr>
          <w:p w14:paraId="7701813A">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＜10</w:t>
            </w:r>
          </w:p>
        </w:tc>
        <w:tc>
          <w:tcPr>
            <w:tcW w:w="1839" w:type="dxa"/>
            <w:gridSpan w:val="2"/>
            <w:noWrap w:val="0"/>
            <w:vAlign w:val="center"/>
          </w:tcPr>
          <w:p w14:paraId="0CBC1492">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＜10</w:t>
            </w:r>
          </w:p>
        </w:tc>
        <w:tc>
          <w:tcPr>
            <w:tcW w:w="1827" w:type="dxa"/>
            <w:gridSpan w:val="2"/>
            <w:noWrap w:val="0"/>
            <w:vAlign w:val="center"/>
          </w:tcPr>
          <w:p w14:paraId="14777304">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＜10</w:t>
            </w:r>
          </w:p>
        </w:tc>
        <w:tc>
          <w:tcPr>
            <w:tcW w:w="1828" w:type="dxa"/>
            <w:gridSpan w:val="2"/>
            <w:noWrap w:val="0"/>
            <w:vAlign w:val="center"/>
          </w:tcPr>
          <w:p w14:paraId="31A3C283">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＜10</w:t>
            </w:r>
          </w:p>
        </w:tc>
        <w:tc>
          <w:tcPr>
            <w:tcW w:w="1824" w:type="dxa"/>
            <w:gridSpan w:val="2"/>
            <w:noWrap w:val="0"/>
            <w:vAlign w:val="center"/>
          </w:tcPr>
          <w:p w14:paraId="787AEB24">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＜10</w:t>
            </w:r>
          </w:p>
        </w:tc>
        <w:tc>
          <w:tcPr>
            <w:tcW w:w="1972" w:type="dxa"/>
            <w:gridSpan w:val="2"/>
            <w:noWrap w:val="0"/>
            <w:vAlign w:val="center"/>
          </w:tcPr>
          <w:p w14:paraId="2DA91629">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＜10</w:t>
            </w:r>
          </w:p>
        </w:tc>
      </w:tr>
      <w:tr w14:paraId="094898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pct"/>
            <w:vMerge w:val="continue"/>
            <w:tcBorders>
              <w:right w:val="single" w:color="auto" w:sz="4" w:space="0"/>
            </w:tcBorders>
            <w:noWrap w:val="0"/>
            <w:vAlign w:val="center"/>
          </w:tcPr>
          <w:p w14:paraId="29F8A32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rPr>
            </w:pPr>
          </w:p>
        </w:tc>
        <w:tc>
          <w:tcPr>
            <w:tcW w:w="434" w:type="pct"/>
            <w:tcBorders>
              <w:left w:val="single" w:color="auto" w:sz="4" w:space="0"/>
            </w:tcBorders>
            <w:noWrap w:val="0"/>
            <w:vAlign w:val="center"/>
          </w:tcPr>
          <w:p w14:paraId="00E4DFB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第二次</w:t>
            </w:r>
          </w:p>
        </w:tc>
        <w:tc>
          <w:tcPr>
            <w:tcW w:w="1839" w:type="dxa"/>
            <w:noWrap w:val="0"/>
            <w:vAlign w:val="center"/>
          </w:tcPr>
          <w:p w14:paraId="52BF57F5">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＜10</w:t>
            </w:r>
          </w:p>
        </w:tc>
        <w:tc>
          <w:tcPr>
            <w:tcW w:w="1839" w:type="dxa"/>
            <w:gridSpan w:val="2"/>
            <w:noWrap w:val="0"/>
            <w:vAlign w:val="center"/>
          </w:tcPr>
          <w:p w14:paraId="6B944BDA">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＜10</w:t>
            </w:r>
          </w:p>
        </w:tc>
        <w:tc>
          <w:tcPr>
            <w:tcW w:w="1827" w:type="dxa"/>
            <w:gridSpan w:val="2"/>
            <w:noWrap w:val="0"/>
            <w:vAlign w:val="center"/>
          </w:tcPr>
          <w:p w14:paraId="0CD2E2B8">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＜10</w:t>
            </w:r>
          </w:p>
        </w:tc>
        <w:tc>
          <w:tcPr>
            <w:tcW w:w="1828" w:type="dxa"/>
            <w:gridSpan w:val="2"/>
            <w:noWrap w:val="0"/>
            <w:vAlign w:val="center"/>
          </w:tcPr>
          <w:p w14:paraId="35C41C90">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＜10</w:t>
            </w:r>
          </w:p>
        </w:tc>
        <w:tc>
          <w:tcPr>
            <w:tcW w:w="1824" w:type="dxa"/>
            <w:gridSpan w:val="2"/>
            <w:noWrap w:val="0"/>
            <w:vAlign w:val="center"/>
          </w:tcPr>
          <w:p w14:paraId="45C6FF6A">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＜10</w:t>
            </w:r>
          </w:p>
        </w:tc>
        <w:tc>
          <w:tcPr>
            <w:tcW w:w="1972" w:type="dxa"/>
            <w:gridSpan w:val="2"/>
            <w:noWrap w:val="0"/>
            <w:vAlign w:val="center"/>
          </w:tcPr>
          <w:p w14:paraId="22628EA9">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＜10</w:t>
            </w:r>
          </w:p>
        </w:tc>
      </w:tr>
      <w:tr w14:paraId="0C4ECA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636" w:type="pct"/>
            <w:vMerge w:val="continue"/>
            <w:tcBorders>
              <w:right w:val="single" w:color="auto" w:sz="4" w:space="0"/>
            </w:tcBorders>
            <w:noWrap w:val="0"/>
            <w:vAlign w:val="center"/>
          </w:tcPr>
          <w:p w14:paraId="2AF4F40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rPr>
            </w:pPr>
          </w:p>
        </w:tc>
        <w:tc>
          <w:tcPr>
            <w:tcW w:w="434" w:type="pct"/>
            <w:tcBorders>
              <w:left w:val="single" w:color="auto" w:sz="4" w:space="0"/>
            </w:tcBorders>
            <w:noWrap w:val="0"/>
            <w:vAlign w:val="center"/>
          </w:tcPr>
          <w:p w14:paraId="2E7AD89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第三次</w:t>
            </w:r>
          </w:p>
        </w:tc>
        <w:tc>
          <w:tcPr>
            <w:tcW w:w="1839" w:type="dxa"/>
            <w:noWrap w:val="0"/>
            <w:vAlign w:val="center"/>
          </w:tcPr>
          <w:p w14:paraId="2806992F">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＜10</w:t>
            </w:r>
          </w:p>
        </w:tc>
        <w:tc>
          <w:tcPr>
            <w:tcW w:w="1839" w:type="dxa"/>
            <w:gridSpan w:val="2"/>
            <w:noWrap w:val="0"/>
            <w:vAlign w:val="center"/>
          </w:tcPr>
          <w:p w14:paraId="5939A3CB">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＜10</w:t>
            </w:r>
          </w:p>
        </w:tc>
        <w:tc>
          <w:tcPr>
            <w:tcW w:w="1827" w:type="dxa"/>
            <w:gridSpan w:val="2"/>
            <w:noWrap w:val="0"/>
            <w:vAlign w:val="center"/>
          </w:tcPr>
          <w:p w14:paraId="6BC9D87F">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＜10</w:t>
            </w:r>
          </w:p>
        </w:tc>
        <w:tc>
          <w:tcPr>
            <w:tcW w:w="1828" w:type="dxa"/>
            <w:gridSpan w:val="2"/>
            <w:noWrap w:val="0"/>
            <w:vAlign w:val="center"/>
          </w:tcPr>
          <w:p w14:paraId="6457BCFE">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＜10</w:t>
            </w:r>
          </w:p>
        </w:tc>
        <w:tc>
          <w:tcPr>
            <w:tcW w:w="1824" w:type="dxa"/>
            <w:gridSpan w:val="2"/>
            <w:noWrap w:val="0"/>
            <w:vAlign w:val="center"/>
          </w:tcPr>
          <w:p w14:paraId="3AB8D326">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＜10</w:t>
            </w:r>
          </w:p>
        </w:tc>
        <w:tc>
          <w:tcPr>
            <w:tcW w:w="1972" w:type="dxa"/>
            <w:gridSpan w:val="2"/>
            <w:noWrap w:val="0"/>
            <w:vAlign w:val="center"/>
          </w:tcPr>
          <w:p w14:paraId="1C1A4DD3">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＜10</w:t>
            </w:r>
          </w:p>
        </w:tc>
      </w:tr>
      <w:tr w14:paraId="345529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1" w:hRule="atLeast"/>
          <w:jc w:val="center"/>
        </w:trPr>
        <w:tc>
          <w:tcPr>
            <w:tcW w:w="1071" w:type="pct"/>
            <w:gridSpan w:val="2"/>
            <w:noWrap w:val="0"/>
            <w:vAlign w:val="center"/>
          </w:tcPr>
          <w:p w14:paraId="2AC68A3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采样日期</w:t>
            </w:r>
          </w:p>
        </w:tc>
        <w:tc>
          <w:tcPr>
            <w:tcW w:w="3928" w:type="pct"/>
            <w:gridSpan w:val="11"/>
            <w:noWrap w:val="0"/>
            <w:vAlign w:val="center"/>
          </w:tcPr>
          <w:p w14:paraId="0F1E667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2025年02月14日</w:t>
            </w:r>
          </w:p>
        </w:tc>
      </w:tr>
      <w:tr w14:paraId="774A38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1" w:hRule="atLeast"/>
          <w:jc w:val="center"/>
        </w:trPr>
        <w:tc>
          <w:tcPr>
            <w:tcW w:w="636" w:type="pct"/>
            <w:vMerge w:val="restart"/>
            <w:tcBorders>
              <w:right w:val="single" w:color="auto" w:sz="4" w:space="0"/>
            </w:tcBorders>
            <w:noWrap w:val="0"/>
            <w:vAlign w:val="center"/>
          </w:tcPr>
          <w:p w14:paraId="1984280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检测项目</w:t>
            </w:r>
          </w:p>
        </w:tc>
        <w:tc>
          <w:tcPr>
            <w:tcW w:w="434" w:type="pct"/>
            <w:vMerge w:val="restart"/>
            <w:tcBorders>
              <w:left w:val="single" w:color="auto" w:sz="4" w:space="0"/>
            </w:tcBorders>
            <w:noWrap w:val="0"/>
            <w:vAlign w:val="center"/>
          </w:tcPr>
          <w:p w14:paraId="0F948A6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采样频次</w:t>
            </w:r>
          </w:p>
        </w:tc>
        <w:tc>
          <w:tcPr>
            <w:tcW w:w="3928" w:type="pct"/>
            <w:gridSpan w:val="11"/>
            <w:noWrap w:val="0"/>
            <w:vAlign w:val="center"/>
          </w:tcPr>
          <w:p w14:paraId="737BFA1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采样点位及结果</w:t>
            </w:r>
          </w:p>
        </w:tc>
      </w:tr>
      <w:tr w14:paraId="185AB7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pct"/>
            <w:vMerge w:val="continue"/>
            <w:tcBorders>
              <w:right w:val="single" w:color="auto" w:sz="4" w:space="0"/>
            </w:tcBorders>
            <w:noWrap w:val="0"/>
            <w:vAlign w:val="center"/>
          </w:tcPr>
          <w:p w14:paraId="2230F61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sz w:val="21"/>
                <w:szCs w:val="21"/>
              </w:rPr>
            </w:pPr>
          </w:p>
        </w:tc>
        <w:tc>
          <w:tcPr>
            <w:tcW w:w="434" w:type="pct"/>
            <w:vMerge w:val="continue"/>
            <w:tcBorders>
              <w:left w:val="single" w:color="auto" w:sz="4" w:space="0"/>
            </w:tcBorders>
            <w:noWrap w:val="0"/>
            <w:vAlign w:val="center"/>
          </w:tcPr>
          <w:p w14:paraId="43AB918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sz w:val="21"/>
                <w:szCs w:val="21"/>
              </w:rPr>
            </w:pPr>
          </w:p>
        </w:tc>
        <w:tc>
          <w:tcPr>
            <w:tcW w:w="654" w:type="pct"/>
            <w:gridSpan w:val="2"/>
            <w:noWrap w:val="0"/>
            <w:vAlign w:val="center"/>
          </w:tcPr>
          <w:p w14:paraId="0FF92A0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上风向A</w:t>
            </w:r>
          </w:p>
        </w:tc>
        <w:tc>
          <w:tcPr>
            <w:tcW w:w="654" w:type="pct"/>
            <w:gridSpan w:val="2"/>
            <w:noWrap w:val="0"/>
            <w:vAlign w:val="center"/>
          </w:tcPr>
          <w:p w14:paraId="71D5B27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下风向B</w:t>
            </w:r>
          </w:p>
        </w:tc>
        <w:tc>
          <w:tcPr>
            <w:tcW w:w="654" w:type="pct"/>
            <w:gridSpan w:val="2"/>
            <w:noWrap w:val="0"/>
            <w:vAlign w:val="center"/>
          </w:tcPr>
          <w:p w14:paraId="3B1919E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下风向C</w:t>
            </w:r>
          </w:p>
        </w:tc>
        <w:tc>
          <w:tcPr>
            <w:tcW w:w="654" w:type="pct"/>
            <w:gridSpan w:val="2"/>
            <w:noWrap w:val="0"/>
            <w:vAlign w:val="center"/>
          </w:tcPr>
          <w:p w14:paraId="13CC09D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下风向D</w:t>
            </w:r>
          </w:p>
        </w:tc>
        <w:tc>
          <w:tcPr>
            <w:tcW w:w="654" w:type="pct"/>
            <w:gridSpan w:val="2"/>
            <w:shd w:val="clear" w:color="auto" w:fill="auto"/>
            <w:noWrap w:val="0"/>
            <w:vAlign w:val="center"/>
          </w:tcPr>
          <w:p w14:paraId="19EB2DD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000000"/>
                <w:kern w:val="2"/>
                <w:sz w:val="21"/>
                <w:szCs w:val="21"/>
                <w:lang w:val="en-US" w:eastAsia="zh-CN" w:bidi="ar-SA"/>
              </w:rPr>
            </w:pPr>
            <w:r>
              <w:rPr>
                <w:rFonts w:hint="eastAsia" w:ascii="宋体" w:hAnsi="宋体" w:eastAsia="宋体" w:cs="宋体"/>
                <w:b/>
                <w:bCs/>
                <w:color w:val="000000"/>
                <w:sz w:val="21"/>
                <w:szCs w:val="21"/>
                <w:lang w:val="en-US" w:eastAsia="zh-CN"/>
              </w:rPr>
              <w:t>安王村G5</w:t>
            </w:r>
          </w:p>
        </w:tc>
        <w:tc>
          <w:tcPr>
            <w:tcW w:w="658" w:type="pct"/>
            <w:shd w:val="clear" w:color="auto" w:fill="auto"/>
            <w:noWrap w:val="0"/>
            <w:vAlign w:val="center"/>
          </w:tcPr>
          <w:p w14:paraId="61522A5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000000"/>
                <w:kern w:val="2"/>
                <w:sz w:val="21"/>
                <w:szCs w:val="21"/>
                <w:lang w:val="en-US" w:eastAsia="zh-CN" w:bidi="ar-SA"/>
              </w:rPr>
            </w:pPr>
            <w:r>
              <w:rPr>
                <w:rFonts w:hint="eastAsia" w:ascii="宋体" w:hAnsi="宋体" w:eastAsia="宋体" w:cs="宋体"/>
                <w:b/>
                <w:bCs/>
                <w:color w:val="000000"/>
                <w:sz w:val="21"/>
                <w:szCs w:val="21"/>
                <w:lang w:val="en-US" w:eastAsia="zh-CN"/>
              </w:rPr>
              <w:t>太阳泵站G7</w:t>
            </w:r>
          </w:p>
        </w:tc>
      </w:tr>
      <w:tr w14:paraId="5FCEC9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pct"/>
            <w:vMerge w:val="restart"/>
            <w:tcBorders>
              <w:right w:val="single" w:color="auto" w:sz="4" w:space="0"/>
            </w:tcBorders>
            <w:noWrap w:val="0"/>
            <w:vAlign w:val="center"/>
          </w:tcPr>
          <w:p w14:paraId="00086F2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rPr>
            </w:pPr>
            <w:r>
              <w:rPr>
                <w:rFonts w:hint="eastAsia" w:ascii="宋体" w:hAnsi="宋体" w:eastAsia="宋体" w:cs="宋体"/>
                <w:color w:val="000000"/>
                <w:sz w:val="21"/>
                <w:szCs w:val="21"/>
                <w:lang w:val="en-US" w:eastAsia="zh-CN"/>
              </w:rPr>
              <w:t>氨</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mg</w:t>
            </w:r>
            <w:r>
              <w:rPr>
                <w:rFonts w:hint="eastAsia" w:ascii="宋体" w:hAnsi="宋体" w:eastAsia="宋体" w:cs="宋体"/>
                <w:sz w:val="21"/>
                <w:szCs w:val="21"/>
                <w:highlight w:val="none"/>
              </w:rPr>
              <w:t>/m</w:t>
            </w:r>
            <w:r>
              <w:rPr>
                <w:rFonts w:hint="eastAsia" w:ascii="宋体" w:hAnsi="宋体" w:eastAsia="宋体" w:cs="宋体"/>
                <w:sz w:val="21"/>
                <w:szCs w:val="21"/>
                <w:highlight w:val="none"/>
                <w:vertAlign w:val="superscript"/>
              </w:rPr>
              <w:t>3</w:t>
            </w:r>
            <w:r>
              <w:rPr>
                <w:rFonts w:hint="eastAsia" w:ascii="宋体" w:hAnsi="宋体" w:eastAsia="宋体" w:cs="宋体"/>
                <w:sz w:val="21"/>
                <w:szCs w:val="21"/>
                <w:highlight w:val="none"/>
              </w:rPr>
              <w:t>）</w:t>
            </w:r>
          </w:p>
        </w:tc>
        <w:tc>
          <w:tcPr>
            <w:tcW w:w="434" w:type="pct"/>
            <w:tcBorders>
              <w:left w:val="single" w:color="auto" w:sz="4" w:space="0"/>
            </w:tcBorders>
            <w:noWrap w:val="0"/>
            <w:vAlign w:val="center"/>
          </w:tcPr>
          <w:p w14:paraId="6B9741A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rPr>
            </w:pPr>
            <w:r>
              <w:rPr>
                <w:rFonts w:hint="eastAsia" w:ascii="宋体" w:hAnsi="宋体" w:eastAsia="宋体" w:cs="宋体"/>
                <w:sz w:val="21"/>
                <w:szCs w:val="21"/>
              </w:rPr>
              <w:t>第一次</w:t>
            </w:r>
          </w:p>
        </w:tc>
        <w:tc>
          <w:tcPr>
            <w:tcW w:w="654" w:type="pct"/>
            <w:gridSpan w:val="2"/>
            <w:noWrap w:val="0"/>
            <w:vAlign w:val="center"/>
          </w:tcPr>
          <w:p w14:paraId="66452B86">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0.31</w:t>
            </w:r>
          </w:p>
        </w:tc>
        <w:tc>
          <w:tcPr>
            <w:tcW w:w="654" w:type="pct"/>
            <w:gridSpan w:val="2"/>
            <w:noWrap w:val="0"/>
            <w:vAlign w:val="center"/>
          </w:tcPr>
          <w:p w14:paraId="7FB36FA9">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0.54</w:t>
            </w:r>
          </w:p>
        </w:tc>
        <w:tc>
          <w:tcPr>
            <w:tcW w:w="654" w:type="pct"/>
            <w:gridSpan w:val="2"/>
            <w:noWrap w:val="0"/>
            <w:vAlign w:val="center"/>
          </w:tcPr>
          <w:p w14:paraId="40EA136D">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0.74</w:t>
            </w:r>
          </w:p>
        </w:tc>
        <w:tc>
          <w:tcPr>
            <w:tcW w:w="654" w:type="pct"/>
            <w:gridSpan w:val="2"/>
            <w:noWrap w:val="0"/>
            <w:vAlign w:val="center"/>
          </w:tcPr>
          <w:p w14:paraId="155E86C2">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0.53</w:t>
            </w:r>
          </w:p>
        </w:tc>
        <w:tc>
          <w:tcPr>
            <w:tcW w:w="654" w:type="pct"/>
            <w:gridSpan w:val="2"/>
            <w:noWrap w:val="0"/>
            <w:vAlign w:val="center"/>
          </w:tcPr>
          <w:p w14:paraId="6A9374BA">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0.52</w:t>
            </w:r>
          </w:p>
        </w:tc>
        <w:tc>
          <w:tcPr>
            <w:tcW w:w="658" w:type="pct"/>
            <w:noWrap w:val="0"/>
            <w:vAlign w:val="center"/>
          </w:tcPr>
          <w:p w14:paraId="38D1B467">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0.56</w:t>
            </w:r>
          </w:p>
        </w:tc>
      </w:tr>
      <w:tr w14:paraId="3050C7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pct"/>
            <w:vMerge w:val="continue"/>
            <w:tcBorders>
              <w:right w:val="single" w:color="auto" w:sz="4" w:space="0"/>
            </w:tcBorders>
            <w:noWrap w:val="0"/>
            <w:vAlign w:val="center"/>
          </w:tcPr>
          <w:p w14:paraId="79FCEC5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rPr>
            </w:pPr>
          </w:p>
        </w:tc>
        <w:tc>
          <w:tcPr>
            <w:tcW w:w="434" w:type="pct"/>
            <w:tcBorders>
              <w:left w:val="single" w:color="auto" w:sz="4" w:space="0"/>
            </w:tcBorders>
            <w:noWrap w:val="0"/>
            <w:vAlign w:val="center"/>
          </w:tcPr>
          <w:p w14:paraId="0B72574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rPr>
            </w:pPr>
            <w:r>
              <w:rPr>
                <w:rFonts w:hint="eastAsia" w:ascii="宋体" w:hAnsi="宋体" w:eastAsia="宋体" w:cs="宋体"/>
                <w:sz w:val="21"/>
                <w:szCs w:val="21"/>
              </w:rPr>
              <w:t>第二次</w:t>
            </w:r>
          </w:p>
        </w:tc>
        <w:tc>
          <w:tcPr>
            <w:tcW w:w="654" w:type="pct"/>
            <w:gridSpan w:val="2"/>
            <w:noWrap w:val="0"/>
            <w:vAlign w:val="center"/>
          </w:tcPr>
          <w:p w14:paraId="06064434">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0.29</w:t>
            </w:r>
          </w:p>
        </w:tc>
        <w:tc>
          <w:tcPr>
            <w:tcW w:w="654" w:type="pct"/>
            <w:gridSpan w:val="2"/>
            <w:noWrap w:val="0"/>
            <w:vAlign w:val="center"/>
          </w:tcPr>
          <w:p w14:paraId="042B9750">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0.52</w:t>
            </w:r>
          </w:p>
        </w:tc>
        <w:tc>
          <w:tcPr>
            <w:tcW w:w="654" w:type="pct"/>
            <w:gridSpan w:val="2"/>
            <w:noWrap w:val="0"/>
            <w:vAlign w:val="center"/>
          </w:tcPr>
          <w:p w14:paraId="7BD0F51B">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0.76</w:t>
            </w:r>
          </w:p>
        </w:tc>
        <w:tc>
          <w:tcPr>
            <w:tcW w:w="654" w:type="pct"/>
            <w:gridSpan w:val="2"/>
            <w:noWrap w:val="0"/>
            <w:vAlign w:val="center"/>
          </w:tcPr>
          <w:p w14:paraId="2BE8D2AC">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0.55</w:t>
            </w:r>
          </w:p>
        </w:tc>
        <w:tc>
          <w:tcPr>
            <w:tcW w:w="654" w:type="pct"/>
            <w:gridSpan w:val="2"/>
            <w:noWrap w:val="0"/>
            <w:vAlign w:val="center"/>
          </w:tcPr>
          <w:p w14:paraId="7C8AF236">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0.28</w:t>
            </w:r>
          </w:p>
        </w:tc>
        <w:tc>
          <w:tcPr>
            <w:tcW w:w="658" w:type="pct"/>
            <w:noWrap w:val="0"/>
            <w:vAlign w:val="center"/>
          </w:tcPr>
          <w:p w14:paraId="40BDBBD3">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0.72</w:t>
            </w:r>
          </w:p>
        </w:tc>
      </w:tr>
      <w:tr w14:paraId="70AAA7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pct"/>
            <w:vMerge w:val="continue"/>
            <w:tcBorders>
              <w:right w:val="single" w:color="auto" w:sz="4" w:space="0"/>
            </w:tcBorders>
            <w:noWrap w:val="0"/>
            <w:vAlign w:val="center"/>
          </w:tcPr>
          <w:p w14:paraId="0B6920B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rPr>
            </w:pPr>
          </w:p>
        </w:tc>
        <w:tc>
          <w:tcPr>
            <w:tcW w:w="434" w:type="pct"/>
            <w:tcBorders>
              <w:left w:val="single" w:color="auto" w:sz="4" w:space="0"/>
            </w:tcBorders>
            <w:noWrap w:val="0"/>
            <w:vAlign w:val="center"/>
          </w:tcPr>
          <w:p w14:paraId="150991C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rPr>
            </w:pPr>
            <w:r>
              <w:rPr>
                <w:rFonts w:hint="eastAsia" w:ascii="宋体" w:hAnsi="宋体" w:eastAsia="宋体" w:cs="宋体"/>
                <w:sz w:val="21"/>
                <w:szCs w:val="21"/>
              </w:rPr>
              <w:t>第三次</w:t>
            </w:r>
          </w:p>
        </w:tc>
        <w:tc>
          <w:tcPr>
            <w:tcW w:w="654" w:type="pct"/>
            <w:gridSpan w:val="2"/>
            <w:noWrap w:val="0"/>
            <w:vAlign w:val="center"/>
          </w:tcPr>
          <w:p w14:paraId="1FECFD40">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0.31</w:t>
            </w:r>
          </w:p>
        </w:tc>
        <w:tc>
          <w:tcPr>
            <w:tcW w:w="654" w:type="pct"/>
            <w:gridSpan w:val="2"/>
            <w:noWrap w:val="0"/>
            <w:vAlign w:val="center"/>
          </w:tcPr>
          <w:p w14:paraId="56EBA272">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0.55</w:t>
            </w:r>
          </w:p>
        </w:tc>
        <w:tc>
          <w:tcPr>
            <w:tcW w:w="654" w:type="pct"/>
            <w:gridSpan w:val="2"/>
            <w:noWrap w:val="0"/>
            <w:vAlign w:val="center"/>
          </w:tcPr>
          <w:p w14:paraId="792E08DA">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0.74</w:t>
            </w:r>
          </w:p>
        </w:tc>
        <w:tc>
          <w:tcPr>
            <w:tcW w:w="654" w:type="pct"/>
            <w:gridSpan w:val="2"/>
            <w:noWrap w:val="0"/>
            <w:vAlign w:val="center"/>
          </w:tcPr>
          <w:p w14:paraId="56194853">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0.54</w:t>
            </w:r>
          </w:p>
        </w:tc>
        <w:tc>
          <w:tcPr>
            <w:tcW w:w="654" w:type="pct"/>
            <w:gridSpan w:val="2"/>
            <w:noWrap w:val="0"/>
            <w:vAlign w:val="center"/>
          </w:tcPr>
          <w:p w14:paraId="5E4633DE">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0.55</w:t>
            </w:r>
          </w:p>
        </w:tc>
        <w:tc>
          <w:tcPr>
            <w:tcW w:w="658" w:type="pct"/>
            <w:noWrap w:val="0"/>
            <w:vAlign w:val="center"/>
          </w:tcPr>
          <w:p w14:paraId="0433BE6D">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0.54</w:t>
            </w:r>
          </w:p>
        </w:tc>
      </w:tr>
      <w:tr w14:paraId="00C12B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pct"/>
            <w:vMerge w:val="restart"/>
            <w:tcBorders>
              <w:right w:val="single" w:color="auto" w:sz="4" w:space="0"/>
            </w:tcBorders>
            <w:shd w:val="clear" w:color="auto" w:fill="auto"/>
            <w:noWrap w:val="0"/>
            <w:vAlign w:val="center"/>
          </w:tcPr>
          <w:p w14:paraId="7328502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lang w:val="en-US" w:eastAsia="zh-CN"/>
              </w:rPr>
              <w:t>硫化氢</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mg</w:t>
            </w:r>
            <w:r>
              <w:rPr>
                <w:rFonts w:hint="eastAsia" w:ascii="宋体" w:hAnsi="宋体" w:eastAsia="宋体" w:cs="宋体"/>
                <w:sz w:val="21"/>
                <w:szCs w:val="21"/>
                <w:highlight w:val="none"/>
              </w:rPr>
              <w:t>/m</w:t>
            </w:r>
            <w:r>
              <w:rPr>
                <w:rFonts w:hint="eastAsia" w:ascii="宋体" w:hAnsi="宋体" w:eastAsia="宋体" w:cs="宋体"/>
                <w:sz w:val="21"/>
                <w:szCs w:val="21"/>
                <w:highlight w:val="none"/>
                <w:vertAlign w:val="superscript"/>
              </w:rPr>
              <w:t>3</w:t>
            </w:r>
            <w:r>
              <w:rPr>
                <w:rFonts w:hint="eastAsia" w:ascii="宋体" w:hAnsi="宋体" w:eastAsia="宋体" w:cs="宋体"/>
                <w:sz w:val="21"/>
                <w:szCs w:val="21"/>
                <w:highlight w:val="none"/>
              </w:rPr>
              <w:t>）</w:t>
            </w:r>
          </w:p>
          <w:p w14:paraId="2245F9F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rPr>
            </w:pPr>
          </w:p>
        </w:tc>
        <w:tc>
          <w:tcPr>
            <w:tcW w:w="434" w:type="pct"/>
            <w:tcBorders>
              <w:left w:val="single" w:color="auto" w:sz="4" w:space="0"/>
            </w:tcBorders>
            <w:noWrap w:val="0"/>
            <w:vAlign w:val="center"/>
          </w:tcPr>
          <w:p w14:paraId="29C726A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rPr>
            </w:pPr>
            <w:r>
              <w:rPr>
                <w:rFonts w:hint="eastAsia" w:ascii="宋体" w:hAnsi="宋体" w:eastAsia="宋体" w:cs="宋体"/>
                <w:sz w:val="21"/>
                <w:szCs w:val="21"/>
              </w:rPr>
              <w:t>第一次</w:t>
            </w:r>
          </w:p>
        </w:tc>
        <w:tc>
          <w:tcPr>
            <w:tcW w:w="654" w:type="pct"/>
            <w:gridSpan w:val="2"/>
            <w:noWrap w:val="0"/>
            <w:vAlign w:val="center"/>
          </w:tcPr>
          <w:p w14:paraId="6A587DAF">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0.002</w:t>
            </w:r>
          </w:p>
        </w:tc>
        <w:tc>
          <w:tcPr>
            <w:tcW w:w="654" w:type="pct"/>
            <w:gridSpan w:val="2"/>
            <w:noWrap w:val="0"/>
            <w:vAlign w:val="center"/>
          </w:tcPr>
          <w:p w14:paraId="3F315D10">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0.007</w:t>
            </w:r>
          </w:p>
        </w:tc>
        <w:tc>
          <w:tcPr>
            <w:tcW w:w="654" w:type="pct"/>
            <w:gridSpan w:val="2"/>
            <w:noWrap w:val="0"/>
            <w:vAlign w:val="center"/>
          </w:tcPr>
          <w:p w14:paraId="1E0DB63C">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0.012</w:t>
            </w:r>
          </w:p>
        </w:tc>
        <w:tc>
          <w:tcPr>
            <w:tcW w:w="654" w:type="pct"/>
            <w:gridSpan w:val="2"/>
            <w:noWrap w:val="0"/>
            <w:vAlign w:val="center"/>
          </w:tcPr>
          <w:p w14:paraId="0A52D031">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0.007</w:t>
            </w:r>
          </w:p>
        </w:tc>
        <w:tc>
          <w:tcPr>
            <w:tcW w:w="654" w:type="pct"/>
            <w:gridSpan w:val="2"/>
            <w:noWrap w:val="0"/>
            <w:vAlign w:val="center"/>
          </w:tcPr>
          <w:p w14:paraId="1312CD78">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0.002</w:t>
            </w:r>
          </w:p>
        </w:tc>
        <w:tc>
          <w:tcPr>
            <w:tcW w:w="658" w:type="pct"/>
            <w:noWrap w:val="0"/>
            <w:vAlign w:val="center"/>
          </w:tcPr>
          <w:p w14:paraId="6B866DE6">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0.003</w:t>
            </w:r>
          </w:p>
        </w:tc>
      </w:tr>
      <w:tr w14:paraId="60C5A6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pct"/>
            <w:vMerge w:val="continue"/>
            <w:tcBorders>
              <w:right w:val="single" w:color="auto" w:sz="4" w:space="0"/>
            </w:tcBorders>
            <w:noWrap w:val="0"/>
            <w:vAlign w:val="center"/>
          </w:tcPr>
          <w:p w14:paraId="6C8BC97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rPr>
            </w:pPr>
          </w:p>
        </w:tc>
        <w:tc>
          <w:tcPr>
            <w:tcW w:w="434" w:type="pct"/>
            <w:tcBorders>
              <w:left w:val="single" w:color="auto" w:sz="4" w:space="0"/>
            </w:tcBorders>
            <w:noWrap w:val="0"/>
            <w:vAlign w:val="center"/>
          </w:tcPr>
          <w:p w14:paraId="3469B8C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rPr>
            </w:pPr>
            <w:r>
              <w:rPr>
                <w:rFonts w:hint="eastAsia" w:ascii="宋体" w:hAnsi="宋体" w:eastAsia="宋体" w:cs="宋体"/>
                <w:sz w:val="21"/>
                <w:szCs w:val="21"/>
              </w:rPr>
              <w:t>第二次</w:t>
            </w:r>
          </w:p>
        </w:tc>
        <w:tc>
          <w:tcPr>
            <w:tcW w:w="654" w:type="pct"/>
            <w:gridSpan w:val="2"/>
            <w:noWrap w:val="0"/>
            <w:vAlign w:val="center"/>
          </w:tcPr>
          <w:p w14:paraId="3D757916">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0.003</w:t>
            </w:r>
          </w:p>
        </w:tc>
        <w:tc>
          <w:tcPr>
            <w:tcW w:w="654" w:type="pct"/>
            <w:gridSpan w:val="2"/>
            <w:noWrap w:val="0"/>
            <w:vAlign w:val="center"/>
          </w:tcPr>
          <w:p w14:paraId="70A39915">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0.008</w:t>
            </w:r>
          </w:p>
        </w:tc>
        <w:tc>
          <w:tcPr>
            <w:tcW w:w="654" w:type="pct"/>
            <w:gridSpan w:val="2"/>
            <w:noWrap w:val="0"/>
            <w:vAlign w:val="center"/>
          </w:tcPr>
          <w:p w14:paraId="5284BF74">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0.015</w:t>
            </w:r>
          </w:p>
        </w:tc>
        <w:tc>
          <w:tcPr>
            <w:tcW w:w="654" w:type="pct"/>
            <w:gridSpan w:val="2"/>
            <w:noWrap w:val="0"/>
            <w:vAlign w:val="center"/>
          </w:tcPr>
          <w:p w14:paraId="592BE656">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0.006</w:t>
            </w:r>
          </w:p>
        </w:tc>
        <w:tc>
          <w:tcPr>
            <w:tcW w:w="654" w:type="pct"/>
            <w:gridSpan w:val="2"/>
            <w:noWrap w:val="0"/>
            <w:vAlign w:val="center"/>
          </w:tcPr>
          <w:p w14:paraId="28B411B0">
            <w:pPr>
              <w:jc w:val="center"/>
              <w:rPr>
                <w:rFonts w:hint="eastAsia" w:ascii="宋体" w:hAnsi="宋体" w:eastAsia="宋体" w:cs="宋体"/>
                <w:sz w:val="21"/>
                <w:szCs w:val="21"/>
                <w:highlight w:val="none"/>
                <w:lang w:eastAsia="zh-CN"/>
              </w:rPr>
            </w:pPr>
            <w:r>
              <w:rPr>
                <w:rFonts w:hint="eastAsia" w:ascii="宋体" w:hAnsi="宋体" w:eastAsia="宋体" w:cs="宋体"/>
                <w:sz w:val="21"/>
                <w:szCs w:val="21"/>
                <w:lang w:val="en-US" w:eastAsia="zh-CN"/>
              </w:rPr>
              <w:t>0.003</w:t>
            </w:r>
          </w:p>
        </w:tc>
        <w:tc>
          <w:tcPr>
            <w:tcW w:w="658" w:type="pct"/>
            <w:noWrap w:val="0"/>
            <w:vAlign w:val="center"/>
          </w:tcPr>
          <w:p w14:paraId="6EE3A649">
            <w:pPr>
              <w:jc w:val="center"/>
              <w:rPr>
                <w:rFonts w:hint="eastAsia" w:ascii="宋体" w:hAnsi="宋体" w:eastAsia="宋体" w:cs="宋体"/>
                <w:sz w:val="21"/>
                <w:szCs w:val="21"/>
                <w:highlight w:val="none"/>
                <w:lang w:eastAsia="zh-CN"/>
              </w:rPr>
            </w:pPr>
            <w:r>
              <w:rPr>
                <w:rFonts w:hint="eastAsia" w:ascii="宋体" w:hAnsi="宋体" w:eastAsia="宋体" w:cs="宋体"/>
                <w:sz w:val="21"/>
                <w:szCs w:val="21"/>
                <w:lang w:val="en-US" w:eastAsia="zh-CN"/>
              </w:rPr>
              <w:t>0.004</w:t>
            </w:r>
          </w:p>
        </w:tc>
      </w:tr>
      <w:tr w14:paraId="31304A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pct"/>
            <w:vMerge w:val="continue"/>
            <w:tcBorders>
              <w:right w:val="single" w:color="auto" w:sz="4" w:space="0"/>
            </w:tcBorders>
            <w:noWrap w:val="0"/>
            <w:vAlign w:val="center"/>
          </w:tcPr>
          <w:p w14:paraId="09B104E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rPr>
            </w:pPr>
          </w:p>
        </w:tc>
        <w:tc>
          <w:tcPr>
            <w:tcW w:w="434" w:type="pct"/>
            <w:tcBorders>
              <w:left w:val="single" w:color="auto" w:sz="4" w:space="0"/>
            </w:tcBorders>
            <w:noWrap w:val="0"/>
            <w:vAlign w:val="center"/>
          </w:tcPr>
          <w:p w14:paraId="142C1D7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rPr>
            </w:pPr>
            <w:r>
              <w:rPr>
                <w:rFonts w:hint="eastAsia" w:ascii="宋体" w:hAnsi="宋体" w:eastAsia="宋体" w:cs="宋体"/>
                <w:sz w:val="21"/>
                <w:szCs w:val="21"/>
              </w:rPr>
              <w:t>第三次</w:t>
            </w:r>
          </w:p>
        </w:tc>
        <w:tc>
          <w:tcPr>
            <w:tcW w:w="654" w:type="pct"/>
            <w:gridSpan w:val="2"/>
            <w:noWrap w:val="0"/>
            <w:vAlign w:val="center"/>
          </w:tcPr>
          <w:p w14:paraId="4AD9B35A">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0.005</w:t>
            </w:r>
          </w:p>
        </w:tc>
        <w:tc>
          <w:tcPr>
            <w:tcW w:w="654" w:type="pct"/>
            <w:gridSpan w:val="2"/>
            <w:noWrap w:val="0"/>
            <w:vAlign w:val="center"/>
          </w:tcPr>
          <w:p w14:paraId="1AED5644">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0.009</w:t>
            </w:r>
          </w:p>
        </w:tc>
        <w:tc>
          <w:tcPr>
            <w:tcW w:w="654" w:type="pct"/>
            <w:gridSpan w:val="2"/>
            <w:noWrap w:val="0"/>
            <w:vAlign w:val="center"/>
          </w:tcPr>
          <w:p w14:paraId="327BBA09">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0.014</w:t>
            </w:r>
          </w:p>
        </w:tc>
        <w:tc>
          <w:tcPr>
            <w:tcW w:w="654" w:type="pct"/>
            <w:gridSpan w:val="2"/>
            <w:noWrap w:val="0"/>
            <w:vAlign w:val="center"/>
          </w:tcPr>
          <w:p w14:paraId="3C69A027">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0.009</w:t>
            </w:r>
          </w:p>
        </w:tc>
        <w:tc>
          <w:tcPr>
            <w:tcW w:w="654" w:type="pct"/>
            <w:gridSpan w:val="2"/>
            <w:noWrap w:val="0"/>
            <w:vAlign w:val="center"/>
          </w:tcPr>
          <w:p w14:paraId="2934EE8A">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0.004</w:t>
            </w:r>
          </w:p>
        </w:tc>
        <w:tc>
          <w:tcPr>
            <w:tcW w:w="658" w:type="pct"/>
            <w:noWrap w:val="0"/>
            <w:vAlign w:val="center"/>
          </w:tcPr>
          <w:p w14:paraId="2D1CBE36">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0.002</w:t>
            </w:r>
          </w:p>
        </w:tc>
      </w:tr>
      <w:tr w14:paraId="1A30F3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pct"/>
            <w:vMerge w:val="restart"/>
            <w:tcBorders>
              <w:right w:val="single" w:color="auto" w:sz="4" w:space="0"/>
            </w:tcBorders>
            <w:shd w:val="clear" w:color="auto" w:fill="auto"/>
            <w:noWrap w:val="0"/>
            <w:vAlign w:val="center"/>
          </w:tcPr>
          <w:p w14:paraId="0A485D5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highlight w:val="none"/>
                <w:lang w:val="en-US" w:eastAsia="zh-CN"/>
              </w:rPr>
              <w:t>臭气</w:t>
            </w:r>
            <w:r>
              <w:rPr>
                <w:rFonts w:hint="eastAsia" w:ascii="宋体" w:hAnsi="宋体" w:eastAsia="宋体" w:cs="宋体"/>
                <w:color w:val="auto"/>
                <w:kern w:val="0"/>
                <w:sz w:val="21"/>
                <w:szCs w:val="21"/>
                <w:lang w:val="en-US" w:eastAsia="zh-CN"/>
              </w:rPr>
              <w:t>(</w:t>
            </w:r>
            <w:r>
              <w:rPr>
                <w:rFonts w:hint="eastAsia" w:ascii="宋体" w:hAnsi="宋体" w:eastAsia="宋体" w:cs="宋体"/>
                <w:color w:val="auto"/>
                <w:sz w:val="21"/>
                <w:szCs w:val="21"/>
                <w:lang w:val="en-US" w:eastAsia="zh-CN"/>
              </w:rPr>
              <w:t>无量纲</w:t>
            </w:r>
            <w:r>
              <w:rPr>
                <w:rFonts w:hint="eastAsia" w:ascii="宋体" w:hAnsi="宋体" w:eastAsia="宋体" w:cs="宋体"/>
                <w:color w:val="auto"/>
                <w:kern w:val="0"/>
                <w:sz w:val="21"/>
                <w:szCs w:val="21"/>
                <w:lang w:val="en-US" w:eastAsia="zh-CN"/>
              </w:rPr>
              <w:t>)</w:t>
            </w:r>
          </w:p>
        </w:tc>
        <w:tc>
          <w:tcPr>
            <w:tcW w:w="434" w:type="pct"/>
            <w:tcBorders>
              <w:left w:val="single" w:color="auto" w:sz="4" w:space="0"/>
            </w:tcBorders>
            <w:noWrap w:val="0"/>
            <w:vAlign w:val="center"/>
          </w:tcPr>
          <w:p w14:paraId="2238AA8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rPr>
            </w:pPr>
            <w:r>
              <w:rPr>
                <w:rFonts w:hint="eastAsia" w:ascii="宋体" w:hAnsi="宋体" w:eastAsia="宋体" w:cs="宋体"/>
                <w:sz w:val="21"/>
                <w:szCs w:val="21"/>
              </w:rPr>
              <w:t>第一次</w:t>
            </w:r>
          </w:p>
        </w:tc>
        <w:tc>
          <w:tcPr>
            <w:tcW w:w="1853" w:type="dxa"/>
            <w:gridSpan w:val="2"/>
            <w:noWrap w:val="0"/>
            <w:vAlign w:val="center"/>
          </w:tcPr>
          <w:p w14:paraId="76479E89">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＜10</w:t>
            </w:r>
          </w:p>
        </w:tc>
        <w:tc>
          <w:tcPr>
            <w:tcW w:w="1853" w:type="dxa"/>
            <w:gridSpan w:val="2"/>
            <w:noWrap w:val="0"/>
            <w:vAlign w:val="center"/>
          </w:tcPr>
          <w:p w14:paraId="04069BCB">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＜10</w:t>
            </w:r>
          </w:p>
        </w:tc>
        <w:tc>
          <w:tcPr>
            <w:tcW w:w="1853" w:type="dxa"/>
            <w:gridSpan w:val="2"/>
            <w:noWrap w:val="0"/>
            <w:vAlign w:val="center"/>
          </w:tcPr>
          <w:p w14:paraId="07E9864A">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＜10</w:t>
            </w:r>
          </w:p>
        </w:tc>
        <w:tc>
          <w:tcPr>
            <w:tcW w:w="1853" w:type="dxa"/>
            <w:gridSpan w:val="2"/>
            <w:noWrap w:val="0"/>
            <w:vAlign w:val="center"/>
          </w:tcPr>
          <w:p w14:paraId="3AE99DA1">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＜10</w:t>
            </w:r>
          </w:p>
        </w:tc>
        <w:tc>
          <w:tcPr>
            <w:tcW w:w="1853" w:type="dxa"/>
            <w:gridSpan w:val="2"/>
            <w:noWrap w:val="0"/>
            <w:vAlign w:val="center"/>
          </w:tcPr>
          <w:p w14:paraId="39A519BD">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＜10</w:t>
            </w:r>
          </w:p>
        </w:tc>
        <w:tc>
          <w:tcPr>
            <w:tcW w:w="1864" w:type="dxa"/>
            <w:noWrap w:val="0"/>
            <w:vAlign w:val="center"/>
          </w:tcPr>
          <w:p w14:paraId="2FDD6510">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＜10</w:t>
            </w:r>
          </w:p>
        </w:tc>
      </w:tr>
      <w:tr w14:paraId="58C8E5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pct"/>
            <w:vMerge w:val="continue"/>
            <w:tcBorders>
              <w:right w:val="single" w:color="auto" w:sz="4" w:space="0"/>
            </w:tcBorders>
            <w:noWrap w:val="0"/>
            <w:vAlign w:val="center"/>
          </w:tcPr>
          <w:p w14:paraId="6CE9F30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rPr>
            </w:pPr>
          </w:p>
        </w:tc>
        <w:tc>
          <w:tcPr>
            <w:tcW w:w="434" w:type="pct"/>
            <w:tcBorders>
              <w:left w:val="single" w:color="auto" w:sz="4" w:space="0"/>
            </w:tcBorders>
            <w:noWrap w:val="0"/>
            <w:vAlign w:val="center"/>
          </w:tcPr>
          <w:p w14:paraId="4719299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rPr>
            </w:pPr>
            <w:r>
              <w:rPr>
                <w:rFonts w:hint="eastAsia" w:ascii="宋体" w:hAnsi="宋体" w:eastAsia="宋体" w:cs="宋体"/>
                <w:sz w:val="21"/>
                <w:szCs w:val="21"/>
              </w:rPr>
              <w:t>第二次</w:t>
            </w:r>
          </w:p>
        </w:tc>
        <w:tc>
          <w:tcPr>
            <w:tcW w:w="1853" w:type="dxa"/>
            <w:gridSpan w:val="2"/>
            <w:noWrap w:val="0"/>
            <w:vAlign w:val="center"/>
          </w:tcPr>
          <w:p w14:paraId="732FD3B2">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＜10</w:t>
            </w:r>
          </w:p>
        </w:tc>
        <w:tc>
          <w:tcPr>
            <w:tcW w:w="1853" w:type="dxa"/>
            <w:gridSpan w:val="2"/>
            <w:noWrap w:val="0"/>
            <w:vAlign w:val="center"/>
          </w:tcPr>
          <w:p w14:paraId="1216F765">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＜10</w:t>
            </w:r>
          </w:p>
        </w:tc>
        <w:tc>
          <w:tcPr>
            <w:tcW w:w="1853" w:type="dxa"/>
            <w:gridSpan w:val="2"/>
            <w:noWrap w:val="0"/>
            <w:vAlign w:val="center"/>
          </w:tcPr>
          <w:p w14:paraId="313E5724">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＜10</w:t>
            </w:r>
          </w:p>
        </w:tc>
        <w:tc>
          <w:tcPr>
            <w:tcW w:w="1853" w:type="dxa"/>
            <w:gridSpan w:val="2"/>
            <w:noWrap w:val="0"/>
            <w:vAlign w:val="center"/>
          </w:tcPr>
          <w:p w14:paraId="41E9890D">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＜10</w:t>
            </w:r>
          </w:p>
        </w:tc>
        <w:tc>
          <w:tcPr>
            <w:tcW w:w="1853" w:type="dxa"/>
            <w:gridSpan w:val="2"/>
            <w:noWrap w:val="0"/>
            <w:vAlign w:val="center"/>
          </w:tcPr>
          <w:p w14:paraId="24CB9E8B">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＜10</w:t>
            </w:r>
          </w:p>
        </w:tc>
        <w:tc>
          <w:tcPr>
            <w:tcW w:w="1864" w:type="dxa"/>
            <w:noWrap w:val="0"/>
            <w:vAlign w:val="center"/>
          </w:tcPr>
          <w:p w14:paraId="3F2E9CA0">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＜10</w:t>
            </w:r>
          </w:p>
        </w:tc>
      </w:tr>
      <w:tr w14:paraId="290003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pct"/>
            <w:vMerge w:val="continue"/>
            <w:tcBorders>
              <w:right w:val="single" w:color="auto" w:sz="4" w:space="0"/>
            </w:tcBorders>
            <w:noWrap w:val="0"/>
            <w:vAlign w:val="center"/>
          </w:tcPr>
          <w:p w14:paraId="444A04D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rPr>
            </w:pPr>
          </w:p>
        </w:tc>
        <w:tc>
          <w:tcPr>
            <w:tcW w:w="434" w:type="pct"/>
            <w:tcBorders>
              <w:left w:val="single" w:color="auto" w:sz="4" w:space="0"/>
            </w:tcBorders>
            <w:noWrap w:val="0"/>
            <w:vAlign w:val="center"/>
          </w:tcPr>
          <w:p w14:paraId="3AEAD7D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rPr>
            </w:pPr>
            <w:r>
              <w:rPr>
                <w:rFonts w:hint="eastAsia" w:ascii="宋体" w:hAnsi="宋体" w:eastAsia="宋体" w:cs="宋体"/>
                <w:sz w:val="21"/>
                <w:szCs w:val="21"/>
              </w:rPr>
              <w:t>第三次</w:t>
            </w:r>
          </w:p>
        </w:tc>
        <w:tc>
          <w:tcPr>
            <w:tcW w:w="1853" w:type="dxa"/>
            <w:gridSpan w:val="2"/>
            <w:noWrap w:val="0"/>
            <w:vAlign w:val="center"/>
          </w:tcPr>
          <w:p w14:paraId="18A72BEF">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＜10</w:t>
            </w:r>
          </w:p>
        </w:tc>
        <w:tc>
          <w:tcPr>
            <w:tcW w:w="1853" w:type="dxa"/>
            <w:gridSpan w:val="2"/>
            <w:noWrap w:val="0"/>
            <w:vAlign w:val="center"/>
          </w:tcPr>
          <w:p w14:paraId="786DC658">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＜10</w:t>
            </w:r>
          </w:p>
        </w:tc>
        <w:tc>
          <w:tcPr>
            <w:tcW w:w="1853" w:type="dxa"/>
            <w:gridSpan w:val="2"/>
            <w:noWrap w:val="0"/>
            <w:vAlign w:val="center"/>
          </w:tcPr>
          <w:p w14:paraId="155272B2">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＜10</w:t>
            </w:r>
          </w:p>
        </w:tc>
        <w:tc>
          <w:tcPr>
            <w:tcW w:w="1853" w:type="dxa"/>
            <w:gridSpan w:val="2"/>
            <w:noWrap w:val="0"/>
            <w:vAlign w:val="center"/>
          </w:tcPr>
          <w:p w14:paraId="6B1ED418">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＜10</w:t>
            </w:r>
          </w:p>
        </w:tc>
        <w:tc>
          <w:tcPr>
            <w:tcW w:w="1853" w:type="dxa"/>
            <w:gridSpan w:val="2"/>
            <w:noWrap w:val="0"/>
            <w:vAlign w:val="center"/>
          </w:tcPr>
          <w:p w14:paraId="5CB44DFA">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＜10</w:t>
            </w:r>
          </w:p>
        </w:tc>
        <w:tc>
          <w:tcPr>
            <w:tcW w:w="1864" w:type="dxa"/>
            <w:noWrap w:val="0"/>
            <w:vAlign w:val="center"/>
          </w:tcPr>
          <w:p w14:paraId="1ECEB59A">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＜10</w:t>
            </w:r>
          </w:p>
        </w:tc>
      </w:tr>
    </w:tbl>
    <w:p w14:paraId="700B7953">
      <w:pPr>
        <w:pStyle w:val="35"/>
        <w:keepNext w:val="0"/>
        <w:keepLines w:val="0"/>
        <w:pageBreakBefore w:val="0"/>
        <w:widowControl w:val="0"/>
        <w:kinsoku/>
        <w:wordWrap/>
        <w:overflowPunct w:val="0"/>
        <w:topLinePunct w:val="0"/>
        <w:autoSpaceDE w:val="0"/>
        <w:autoSpaceDN w:val="0"/>
        <w:bidi w:val="0"/>
        <w:adjustRightInd w:val="0"/>
        <w:snapToGrid/>
        <w:spacing w:before="0" w:after="0"/>
        <w:textAlignment w:val="baseline"/>
        <w:rPr>
          <w:rFonts w:hint="eastAsia" w:ascii="宋体" w:hAnsi="宋体" w:eastAsia="宋体" w:cs="宋体"/>
          <w:bCs w:val="0"/>
          <w:lang w:val="en-US" w:eastAsia="zh-CN"/>
        </w:rPr>
        <w:sectPr>
          <w:pgSz w:w="16838" w:h="11906" w:orient="landscape"/>
          <w:pgMar w:top="1800" w:right="1440" w:bottom="1800" w:left="1440" w:header="1134" w:footer="1020" w:gutter="0"/>
          <w:pgBorders w:offsetFrom="page">
            <w:top w:val="none" w:sz="0" w:space="0"/>
            <w:left w:val="none" w:sz="0" w:space="0"/>
            <w:bottom w:val="none" w:sz="0" w:space="0"/>
            <w:right w:val="none" w:sz="0" w:space="0"/>
          </w:pgBorders>
          <w:pgNumType w:fmt="decimal"/>
          <w:cols w:space="425" w:num="1"/>
          <w:docGrid w:type="lines" w:linePitch="312" w:charSpace="0"/>
        </w:sectPr>
      </w:pPr>
    </w:p>
    <w:p w14:paraId="71855AE4">
      <w:pPr>
        <w:keepNext w:val="0"/>
        <w:keepLines w:val="0"/>
        <w:widowControl/>
        <w:suppressLineNumbers w:val="0"/>
        <w:spacing w:line="360" w:lineRule="auto"/>
        <w:jc w:val="left"/>
        <w:rPr>
          <w:rFonts w:hint="eastAsia" w:ascii="宋体" w:hAnsi="宋体" w:eastAsia="宋体" w:cs="宋体"/>
          <w:b/>
          <w:bCs/>
          <w:color w:val="000000" w:themeColor="text1"/>
          <w:kern w:val="0"/>
          <w:sz w:val="24"/>
          <w:szCs w:val="24"/>
          <w:lang w:val="en-US" w:eastAsia="zh-CN" w:bidi="ar"/>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 xml:space="preserve">无组织废气监测结果评价： </w:t>
      </w:r>
    </w:p>
    <w:p w14:paraId="580FE4C5">
      <w:pPr>
        <w:spacing w:line="360" w:lineRule="auto"/>
        <w:ind w:firstLine="480" w:firstLineChars="200"/>
        <w:jc w:val="both"/>
        <w:rPr>
          <w:rFonts w:hint="eastAsia" w:ascii="宋体" w:hAnsi="宋体" w:eastAsia="宋体" w:cs="宋体"/>
          <w:color w:val="000000" w:themeColor="text1"/>
          <w:sz w:val="24"/>
          <w:szCs w:val="24"/>
          <w:highlight w:val="none"/>
          <w:vertAlign w:val="baseline"/>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根据</w:t>
      </w:r>
      <w:r>
        <w:rPr>
          <w:rFonts w:hint="eastAsia" w:ascii="宋体" w:hAnsi="宋体" w:eastAsia="宋体" w:cs="宋体"/>
          <w:color w:val="000000" w:themeColor="text1"/>
          <w:sz w:val="24"/>
          <w:szCs w:val="24"/>
          <w14:textFill>
            <w14:solidFill>
              <w14:schemeClr w14:val="tx1"/>
            </w14:solidFill>
          </w14:textFill>
        </w:rPr>
        <w:t>无组织排放源监测结果表明，</w:t>
      </w:r>
      <w:r>
        <w:rPr>
          <w:rFonts w:hint="eastAsia" w:ascii="宋体" w:hAnsi="宋体" w:eastAsia="宋体" w:cs="宋体"/>
          <w:color w:val="000000" w:themeColor="text1"/>
          <w:sz w:val="24"/>
          <w:szCs w:val="28"/>
          <w14:textFill>
            <w14:solidFill>
              <w14:schemeClr w14:val="tx1"/>
            </w14:solidFill>
          </w14:textFill>
        </w:rPr>
        <w:t>上风向</w:t>
      </w:r>
      <w:r>
        <w:rPr>
          <w:rFonts w:hint="eastAsia" w:ascii="宋体" w:hAnsi="宋体" w:eastAsia="宋体" w:cs="宋体"/>
          <w:color w:val="000000" w:themeColor="text1"/>
          <w:sz w:val="24"/>
          <w:szCs w:val="28"/>
          <w:lang w:val="en-US" w:eastAsia="zh-CN"/>
          <w14:textFill>
            <w14:solidFill>
              <w14:schemeClr w14:val="tx1"/>
            </w14:solidFill>
          </w14:textFill>
        </w:rPr>
        <w:t>氨</w:t>
      </w:r>
      <w:r>
        <w:rPr>
          <w:rFonts w:hint="eastAsia" w:ascii="宋体" w:hAnsi="宋体" w:eastAsia="宋体" w:cs="宋体"/>
          <w:color w:val="000000" w:themeColor="text1"/>
          <w:sz w:val="24"/>
          <w:szCs w:val="24"/>
          <w:lang w:eastAsia="zh-CN"/>
          <w14:textFill>
            <w14:solidFill>
              <w14:schemeClr w14:val="tx1"/>
            </w14:solidFill>
          </w14:textFill>
        </w:rPr>
        <w:t>检测</w:t>
      </w:r>
      <w:r>
        <w:rPr>
          <w:rFonts w:hint="eastAsia" w:ascii="宋体" w:hAnsi="宋体" w:eastAsia="宋体" w:cs="宋体"/>
          <w:color w:val="000000" w:themeColor="text1"/>
          <w:sz w:val="24"/>
          <w:szCs w:val="24"/>
          <w14:textFill>
            <w14:solidFill>
              <w14:schemeClr w14:val="tx1"/>
            </w14:solidFill>
          </w14:textFill>
        </w:rPr>
        <w:t>浓度范围为</w:t>
      </w:r>
      <w:r>
        <w:rPr>
          <w:rFonts w:hint="eastAsia" w:ascii="宋体" w:hAnsi="宋体" w:eastAsia="宋体" w:cs="宋体"/>
          <w:color w:val="000000" w:themeColor="text1"/>
          <w:sz w:val="24"/>
          <w:szCs w:val="24"/>
          <w:lang w:val="en-US" w:eastAsia="zh-CN"/>
          <w14:textFill>
            <w14:solidFill>
              <w14:schemeClr w14:val="tx1"/>
            </w14:solidFill>
          </w14:textFill>
        </w:rPr>
        <w:t>0.28-0.31</w:t>
      </w:r>
      <w:r>
        <w:rPr>
          <w:rFonts w:hint="eastAsia" w:ascii="宋体" w:hAnsi="宋体" w:eastAsia="宋体" w:cs="宋体"/>
          <w:color w:val="000000" w:themeColor="text1"/>
          <w:sz w:val="24"/>
          <w:szCs w:val="24"/>
          <w:highlight w:val="none"/>
          <w:lang w:val="en-US" w:eastAsia="zh-CN"/>
          <w14:textFill>
            <w14:solidFill>
              <w14:schemeClr w14:val="tx1"/>
            </w14:solidFill>
          </w14:textFill>
        </w:rPr>
        <w:t>mg</w:t>
      </w:r>
      <w:r>
        <w:rPr>
          <w:rFonts w:hint="eastAsia" w:ascii="宋体" w:hAnsi="宋体" w:eastAsia="宋体" w:cs="宋体"/>
          <w:color w:val="000000" w:themeColor="text1"/>
          <w:sz w:val="24"/>
          <w:szCs w:val="24"/>
          <w:highlight w:val="none"/>
          <w14:textFill>
            <w14:solidFill>
              <w14:schemeClr w14:val="tx1"/>
            </w14:solidFill>
          </w14:textFill>
        </w:rPr>
        <w:t>/m</w:t>
      </w:r>
      <w:r>
        <w:rPr>
          <w:rFonts w:hint="eastAsia" w:ascii="宋体" w:hAnsi="宋体" w:eastAsia="宋体" w:cs="宋体"/>
          <w:color w:val="000000" w:themeColor="text1"/>
          <w:sz w:val="24"/>
          <w:szCs w:val="24"/>
          <w:highlight w:val="none"/>
          <w:vertAlign w:val="superscript"/>
          <w14:textFill>
            <w14:solidFill>
              <w14:schemeClr w14:val="tx1"/>
            </w14:solidFill>
          </w14:textFill>
        </w:rPr>
        <w:t>3</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硫化氢</w:t>
      </w:r>
      <w:r>
        <w:rPr>
          <w:rFonts w:hint="eastAsia" w:ascii="宋体" w:hAnsi="宋体" w:eastAsia="宋体" w:cs="宋体"/>
          <w:color w:val="000000" w:themeColor="text1"/>
          <w:sz w:val="24"/>
          <w:szCs w:val="24"/>
          <w:lang w:eastAsia="zh-CN"/>
          <w14:textFill>
            <w14:solidFill>
              <w14:schemeClr w14:val="tx1"/>
            </w14:solidFill>
          </w14:textFill>
        </w:rPr>
        <w:t>检测</w:t>
      </w:r>
      <w:r>
        <w:rPr>
          <w:rFonts w:hint="eastAsia" w:ascii="宋体" w:hAnsi="宋体" w:eastAsia="宋体" w:cs="宋体"/>
          <w:color w:val="000000" w:themeColor="text1"/>
          <w:sz w:val="24"/>
          <w:szCs w:val="24"/>
          <w14:textFill>
            <w14:solidFill>
              <w14:schemeClr w14:val="tx1"/>
            </w14:solidFill>
          </w14:textFill>
        </w:rPr>
        <w:t>浓度范围为</w:t>
      </w:r>
      <w:r>
        <w:rPr>
          <w:rFonts w:hint="eastAsia" w:ascii="宋体" w:hAnsi="宋体" w:eastAsia="宋体" w:cs="宋体"/>
          <w:color w:val="000000" w:themeColor="text1"/>
          <w:sz w:val="24"/>
          <w:szCs w:val="24"/>
          <w:lang w:val="en-US" w:eastAsia="zh-CN"/>
          <w14:textFill>
            <w14:solidFill>
              <w14:schemeClr w14:val="tx1"/>
            </w14:solidFill>
          </w14:textFill>
        </w:rPr>
        <w:t>0.002-0.005</w:t>
      </w:r>
      <w:r>
        <w:rPr>
          <w:rFonts w:hint="eastAsia" w:ascii="宋体" w:hAnsi="宋体" w:eastAsia="宋体" w:cs="宋体"/>
          <w:color w:val="000000" w:themeColor="text1"/>
          <w:sz w:val="24"/>
          <w:szCs w:val="24"/>
          <w14:textFill>
            <w14:solidFill>
              <w14:schemeClr w14:val="tx1"/>
            </w14:solidFill>
          </w14:textFill>
        </w:rPr>
        <w:t>mg/m</w:t>
      </w:r>
      <w:r>
        <w:rPr>
          <w:rFonts w:hint="eastAsia" w:ascii="宋体" w:hAnsi="宋体" w:eastAsia="宋体" w:cs="宋体"/>
          <w:color w:val="000000" w:themeColor="text1"/>
          <w:sz w:val="24"/>
          <w:szCs w:val="24"/>
          <w:vertAlign w:val="superscript"/>
          <w14:textFill>
            <w14:solidFill>
              <w14:schemeClr w14:val="tx1"/>
            </w14:solidFill>
          </w14:textFill>
        </w:rPr>
        <w:t>3</w:t>
      </w:r>
      <w:r>
        <w:rPr>
          <w:rFonts w:hint="eastAsia" w:ascii="宋体" w:hAnsi="宋体" w:eastAsia="宋体" w:cs="宋体"/>
          <w:color w:val="000000" w:themeColor="text1"/>
          <w:sz w:val="24"/>
          <w:szCs w:val="24"/>
          <w:highlight w:val="none"/>
          <w:vertAlign w:val="baseline"/>
          <w:lang w:eastAsia="zh-CN"/>
          <w14:textFill>
            <w14:solidFill>
              <w14:schemeClr w14:val="tx1"/>
            </w14:solidFill>
          </w14:textFill>
        </w:rPr>
        <w:t>；</w:t>
      </w:r>
      <w:r>
        <w:rPr>
          <w:rFonts w:hint="eastAsia" w:ascii="宋体" w:hAnsi="宋体" w:eastAsia="宋体" w:cs="宋体"/>
          <w:color w:val="000000" w:themeColor="text1"/>
          <w:sz w:val="24"/>
          <w:szCs w:val="24"/>
          <w:highlight w:val="none"/>
          <w:vertAlign w:val="baseline"/>
          <w:lang w:val="en-US" w:eastAsia="zh-CN"/>
          <w14:textFill>
            <w14:solidFill>
              <w14:schemeClr w14:val="tx1"/>
            </w14:solidFill>
          </w14:textFill>
        </w:rPr>
        <w:t>臭气</w:t>
      </w:r>
      <w:r>
        <w:rPr>
          <w:rFonts w:hint="eastAsia" w:ascii="宋体" w:hAnsi="宋体" w:eastAsia="宋体" w:cs="宋体"/>
          <w:color w:val="000000" w:themeColor="text1"/>
          <w:sz w:val="24"/>
          <w:szCs w:val="24"/>
          <w:lang w:eastAsia="zh-CN"/>
          <w14:textFill>
            <w14:solidFill>
              <w14:schemeClr w14:val="tx1"/>
            </w14:solidFill>
          </w14:textFill>
        </w:rPr>
        <w:t>检测</w:t>
      </w:r>
      <w:r>
        <w:rPr>
          <w:rFonts w:hint="eastAsia" w:ascii="宋体" w:hAnsi="宋体" w:eastAsia="宋体" w:cs="宋体"/>
          <w:color w:val="000000" w:themeColor="text1"/>
          <w:sz w:val="24"/>
          <w:szCs w:val="24"/>
          <w14:textFill>
            <w14:solidFill>
              <w14:schemeClr w14:val="tx1"/>
            </w14:solidFill>
          </w14:textFill>
        </w:rPr>
        <w:t>浓度</w:t>
      </w:r>
      <w:r>
        <w:rPr>
          <w:rFonts w:hint="eastAsia" w:ascii="宋体" w:hAnsi="宋体" w:eastAsia="宋体" w:cs="宋体"/>
          <w:color w:val="000000" w:themeColor="text1"/>
          <w:sz w:val="24"/>
          <w:szCs w:val="24"/>
          <w:lang w:val="en-US" w:eastAsia="zh-CN"/>
          <w14:textFill>
            <w14:solidFill>
              <w14:schemeClr w14:val="tx1"/>
            </w14:solidFill>
          </w14:textFill>
        </w:rPr>
        <w:t>低于检出限</w:t>
      </w:r>
      <w:r>
        <w:rPr>
          <w:rFonts w:hint="eastAsia" w:ascii="宋体" w:hAnsi="宋体" w:eastAsia="宋体" w:cs="宋体"/>
          <w:color w:val="000000" w:themeColor="text1"/>
          <w:sz w:val="24"/>
          <w:szCs w:val="24"/>
          <w:highlight w:val="none"/>
          <w:vertAlign w:val="baseline"/>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下风向</w:t>
      </w:r>
      <w:r>
        <w:rPr>
          <w:rFonts w:hint="eastAsia" w:ascii="宋体" w:hAnsi="宋体" w:eastAsia="宋体" w:cs="宋体"/>
          <w:color w:val="000000" w:themeColor="text1"/>
          <w:sz w:val="24"/>
          <w:szCs w:val="24"/>
          <w:lang w:val="en-US" w:eastAsia="zh-CN"/>
          <w14:textFill>
            <w14:solidFill>
              <w14:schemeClr w14:val="tx1"/>
            </w14:solidFill>
          </w14:textFill>
        </w:rPr>
        <w:t>监测</w:t>
      </w:r>
      <w:r>
        <w:rPr>
          <w:rFonts w:hint="eastAsia" w:ascii="宋体" w:hAnsi="宋体" w:eastAsia="宋体" w:cs="宋体"/>
          <w:color w:val="000000" w:themeColor="text1"/>
          <w:sz w:val="24"/>
          <w:szCs w:val="24"/>
          <w14:textFill>
            <w14:solidFill>
              <w14:schemeClr w14:val="tx1"/>
            </w14:solidFill>
          </w14:textFill>
        </w:rPr>
        <w:t>区</w:t>
      </w:r>
      <w:r>
        <w:rPr>
          <w:rFonts w:hint="eastAsia" w:ascii="宋体" w:hAnsi="宋体" w:eastAsia="宋体" w:cs="宋体"/>
          <w:color w:val="000000" w:themeColor="text1"/>
          <w:sz w:val="24"/>
          <w:szCs w:val="28"/>
          <w:lang w:val="en-US" w:eastAsia="zh-CN"/>
          <w14:textFill>
            <w14:solidFill>
              <w14:schemeClr w14:val="tx1"/>
            </w14:solidFill>
          </w14:textFill>
        </w:rPr>
        <w:t>氨</w:t>
      </w:r>
      <w:r>
        <w:rPr>
          <w:rFonts w:hint="eastAsia" w:ascii="宋体" w:hAnsi="宋体" w:eastAsia="宋体" w:cs="宋体"/>
          <w:color w:val="000000" w:themeColor="text1"/>
          <w:sz w:val="24"/>
          <w:szCs w:val="24"/>
          <w14:textFill>
            <w14:solidFill>
              <w14:schemeClr w14:val="tx1"/>
            </w14:solidFill>
          </w14:textFill>
        </w:rPr>
        <w:t>浓度范围为</w:t>
      </w:r>
      <w:r>
        <w:rPr>
          <w:rFonts w:hint="eastAsia" w:ascii="宋体" w:hAnsi="宋体" w:eastAsia="宋体" w:cs="宋体"/>
          <w:color w:val="000000" w:themeColor="text1"/>
          <w:sz w:val="24"/>
          <w:szCs w:val="24"/>
          <w:lang w:val="en-US" w:eastAsia="zh-CN"/>
          <w14:textFill>
            <w14:solidFill>
              <w14:schemeClr w14:val="tx1"/>
            </w14:solidFill>
          </w14:textFill>
        </w:rPr>
        <w:t>0.52-0.76</w:t>
      </w:r>
      <w:r>
        <w:rPr>
          <w:rFonts w:hint="eastAsia" w:ascii="宋体" w:hAnsi="宋体" w:eastAsia="宋体" w:cs="宋体"/>
          <w:color w:val="000000" w:themeColor="text1"/>
          <w:sz w:val="24"/>
          <w:szCs w:val="24"/>
          <w:highlight w:val="none"/>
          <w:lang w:val="en-US" w:eastAsia="zh-CN"/>
          <w14:textFill>
            <w14:solidFill>
              <w14:schemeClr w14:val="tx1"/>
            </w14:solidFill>
          </w14:textFill>
        </w:rPr>
        <w:t>mg</w:t>
      </w:r>
      <w:r>
        <w:rPr>
          <w:rFonts w:hint="eastAsia" w:ascii="宋体" w:hAnsi="宋体" w:eastAsia="宋体" w:cs="宋体"/>
          <w:color w:val="000000" w:themeColor="text1"/>
          <w:sz w:val="24"/>
          <w:szCs w:val="24"/>
          <w:highlight w:val="none"/>
          <w14:textFill>
            <w14:solidFill>
              <w14:schemeClr w14:val="tx1"/>
            </w14:solidFill>
          </w14:textFill>
        </w:rPr>
        <w:t>/m</w:t>
      </w:r>
      <w:r>
        <w:rPr>
          <w:rFonts w:hint="eastAsia" w:ascii="宋体" w:hAnsi="宋体" w:eastAsia="宋体" w:cs="宋体"/>
          <w:color w:val="000000" w:themeColor="text1"/>
          <w:sz w:val="24"/>
          <w:szCs w:val="24"/>
          <w:highlight w:val="none"/>
          <w:vertAlign w:val="superscript"/>
          <w14:textFill>
            <w14:solidFill>
              <w14:schemeClr w14:val="tx1"/>
            </w14:solidFill>
          </w14:textFill>
        </w:rPr>
        <w:t>3</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硫化氢</w:t>
      </w:r>
      <w:r>
        <w:rPr>
          <w:rFonts w:hint="eastAsia" w:ascii="宋体" w:hAnsi="宋体" w:eastAsia="宋体" w:cs="宋体"/>
          <w:color w:val="000000" w:themeColor="text1"/>
          <w:sz w:val="24"/>
          <w:szCs w:val="24"/>
          <w14:textFill>
            <w14:solidFill>
              <w14:schemeClr w14:val="tx1"/>
            </w14:solidFill>
          </w14:textFill>
        </w:rPr>
        <w:t>浓度范围为</w:t>
      </w:r>
      <w:r>
        <w:rPr>
          <w:rFonts w:hint="eastAsia" w:ascii="宋体" w:hAnsi="宋体" w:eastAsia="宋体" w:cs="宋体"/>
          <w:color w:val="000000" w:themeColor="text1"/>
          <w:sz w:val="24"/>
          <w:highlight w:val="none"/>
          <w:lang w:val="en-US" w:eastAsia="zh-CN"/>
          <w14:textFill>
            <w14:solidFill>
              <w14:schemeClr w14:val="tx1"/>
            </w14:solidFill>
          </w14:textFill>
        </w:rPr>
        <w:t>0.006</w:t>
      </w:r>
      <w:r>
        <w:rPr>
          <w:rFonts w:hint="eastAsia" w:ascii="宋体" w:hAnsi="宋体" w:eastAsia="宋体" w:cs="宋体"/>
          <w:color w:val="000000" w:themeColor="text1"/>
          <w:sz w:val="24"/>
          <w:szCs w:val="24"/>
          <w:lang w:val="en-US" w:eastAsia="zh-CN"/>
          <w14:textFill>
            <w14:solidFill>
              <w14:schemeClr w14:val="tx1"/>
            </w14:solidFill>
          </w14:textFill>
        </w:rPr>
        <w:t>-0.015</w:t>
      </w:r>
      <w:r>
        <w:rPr>
          <w:rFonts w:hint="eastAsia" w:ascii="宋体" w:hAnsi="宋体" w:eastAsia="宋体" w:cs="宋体"/>
          <w:color w:val="000000" w:themeColor="text1"/>
          <w:sz w:val="24"/>
          <w:szCs w:val="24"/>
          <w14:textFill>
            <w14:solidFill>
              <w14:schemeClr w14:val="tx1"/>
            </w14:solidFill>
          </w14:textFill>
        </w:rPr>
        <w:t>mg/m</w:t>
      </w:r>
      <w:r>
        <w:rPr>
          <w:rFonts w:hint="eastAsia" w:ascii="宋体" w:hAnsi="宋体" w:eastAsia="宋体" w:cs="宋体"/>
          <w:color w:val="000000" w:themeColor="text1"/>
          <w:sz w:val="24"/>
          <w:szCs w:val="24"/>
          <w:vertAlign w:val="superscript"/>
          <w14:textFill>
            <w14:solidFill>
              <w14:schemeClr w14:val="tx1"/>
            </w14:solidFill>
          </w14:textFill>
        </w:rPr>
        <w:t>3</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highlight w:val="none"/>
          <w:vertAlign w:val="baseline"/>
          <w:lang w:val="en-US" w:eastAsia="zh-CN"/>
          <w14:textFill>
            <w14:solidFill>
              <w14:schemeClr w14:val="tx1"/>
            </w14:solidFill>
          </w14:textFill>
        </w:rPr>
        <w:t>臭气</w:t>
      </w:r>
      <w:r>
        <w:rPr>
          <w:rFonts w:hint="eastAsia" w:ascii="宋体" w:hAnsi="宋体" w:eastAsia="宋体" w:cs="宋体"/>
          <w:color w:val="000000" w:themeColor="text1"/>
          <w:sz w:val="24"/>
          <w:szCs w:val="24"/>
          <w:lang w:eastAsia="zh-CN"/>
          <w14:textFill>
            <w14:solidFill>
              <w14:schemeClr w14:val="tx1"/>
            </w14:solidFill>
          </w14:textFill>
        </w:rPr>
        <w:t>检测</w:t>
      </w:r>
      <w:r>
        <w:rPr>
          <w:rFonts w:hint="eastAsia" w:ascii="宋体" w:hAnsi="宋体" w:eastAsia="宋体" w:cs="宋体"/>
          <w:color w:val="000000" w:themeColor="text1"/>
          <w:sz w:val="24"/>
          <w:szCs w:val="24"/>
          <w14:textFill>
            <w14:solidFill>
              <w14:schemeClr w14:val="tx1"/>
            </w14:solidFill>
          </w14:textFill>
        </w:rPr>
        <w:t>浓度</w:t>
      </w:r>
      <w:r>
        <w:rPr>
          <w:rFonts w:hint="eastAsia" w:ascii="宋体" w:hAnsi="宋体" w:eastAsia="宋体" w:cs="宋体"/>
          <w:color w:val="000000" w:themeColor="text1"/>
          <w:sz w:val="24"/>
          <w:szCs w:val="24"/>
          <w:lang w:val="en-US" w:eastAsia="zh-CN"/>
          <w14:textFill>
            <w14:solidFill>
              <w14:schemeClr w14:val="tx1"/>
            </w14:solidFill>
          </w14:textFill>
        </w:rPr>
        <w:t>低于检出限</w:t>
      </w:r>
      <w:r>
        <w:rPr>
          <w:rFonts w:hint="eastAsia" w:ascii="宋体" w:hAnsi="宋体" w:eastAsia="宋体" w:cs="宋体"/>
          <w:color w:val="000000" w:themeColor="text1"/>
          <w:sz w:val="24"/>
          <w:szCs w:val="24"/>
          <w:highlight w:val="none"/>
          <w:vertAlign w:val="baseline"/>
          <w:lang w:eastAsia="zh-CN"/>
          <w14:textFill>
            <w14:solidFill>
              <w14:schemeClr w14:val="tx1"/>
            </w14:solidFill>
          </w14:textFill>
        </w:rPr>
        <w:t>；</w:t>
      </w:r>
      <w:r>
        <w:rPr>
          <w:rFonts w:hint="eastAsia" w:ascii="宋体" w:hAnsi="宋体" w:eastAsia="宋体" w:cs="宋体"/>
          <w:color w:val="000000" w:themeColor="text1"/>
          <w:kern w:val="0"/>
          <w:sz w:val="24"/>
          <w:szCs w:val="20"/>
          <w:lang w:val="en-US" w:eastAsia="zh-CN" w:bidi="ar-SA"/>
          <w14:textFill>
            <w14:solidFill>
              <w14:schemeClr w14:val="tx1"/>
            </w14:solidFill>
          </w14:textFill>
        </w:rPr>
        <w:t>敏感点安王村、太阳泵站氨最大检测浓度为0.75</w:t>
      </w:r>
      <w:r>
        <w:rPr>
          <w:rFonts w:hint="eastAsia" w:ascii="宋体" w:hAnsi="宋体" w:eastAsia="宋体" w:cs="宋体"/>
          <w:color w:val="000000" w:themeColor="text1"/>
          <w:sz w:val="24"/>
          <w:szCs w:val="24"/>
          <w:highlight w:val="none"/>
          <w:lang w:val="en-US" w:eastAsia="zh-CN"/>
          <w14:textFill>
            <w14:solidFill>
              <w14:schemeClr w14:val="tx1"/>
            </w14:solidFill>
          </w14:textFill>
        </w:rPr>
        <w:t>mg</w:t>
      </w:r>
      <w:r>
        <w:rPr>
          <w:rFonts w:hint="eastAsia" w:ascii="宋体" w:hAnsi="宋体" w:eastAsia="宋体" w:cs="宋体"/>
          <w:color w:val="000000" w:themeColor="text1"/>
          <w:sz w:val="24"/>
          <w:szCs w:val="24"/>
          <w:highlight w:val="none"/>
          <w14:textFill>
            <w14:solidFill>
              <w14:schemeClr w14:val="tx1"/>
            </w14:solidFill>
          </w14:textFill>
        </w:rPr>
        <w:t>/m</w:t>
      </w:r>
      <w:r>
        <w:rPr>
          <w:rFonts w:hint="eastAsia" w:ascii="宋体" w:hAnsi="宋体" w:eastAsia="宋体" w:cs="宋体"/>
          <w:color w:val="000000" w:themeColor="text1"/>
          <w:sz w:val="24"/>
          <w:szCs w:val="24"/>
          <w:highlight w:val="none"/>
          <w:vertAlign w:val="superscript"/>
          <w14:textFill>
            <w14:solidFill>
              <w14:schemeClr w14:val="tx1"/>
            </w14:solidFill>
          </w14:textFill>
        </w:rPr>
        <w:t>3</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硫化氢</w:t>
      </w:r>
      <w:r>
        <w:rPr>
          <w:rFonts w:hint="eastAsia" w:ascii="宋体" w:hAnsi="宋体" w:eastAsia="宋体" w:cs="宋体"/>
          <w:color w:val="000000" w:themeColor="text1"/>
          <w:kern w:val="0"/>
          <w:sz w:val="24"/>
          <w:szCs w:val="20"/>
          <w:lang w:val="en-US" w:eastAsia="zh-CN" w:bidi="ar-SA"/>
          <w14:textFill>
            <w14:solidFill>
              <w14:schemeClr w14:val="tx1"/>
            </w14:solidFill>
          </w14:textFill>
        </w:rPr>
        <w:t>最大检测浓度为0.005</w:t>
      </w:r>
      <w:r>
        <w:rPr>
          <w:rFonts w:hint="eastAsia" w:ascii="宋体" w:hAnsi="宋体" w:eastAsia="宋体" w:cs="宋体"/>
          <w:color w:val="000000" w:themeColor="text1"/>
          <w:sz w:val="24"/>
          <w:szCs w:val="24"/>
          <w:highlight w:val="none"/>
          <w:lang w:val="en-US" w:eastAsia="zh-CN"/>
          <w14:textFill>
            <w14:solidFill>
              <w14:schemeClr w14:val="tx1"/>
            </w14:solidFill>
          </w14:textFill>
        </w:rPr>
        <w:t>mg</w:t>
      </w:r>
      <w:r>
        <w:rPr>
          <w:rFonts w:hint="eastAsia" w:ascii="宋体" w:hAnsi="宋体" w:eastAsia="宋体" w:cs="宋体"/>
          <w:color w:val="000000" w:themeColor="text1"/>
          <w:sz w:val="24"/>
          <w:szCs w:val="24"/>
          <w:highlight w:val="none"/>
          <w14:textFill>
            <w14:solidFill>
              <w14:schemeClr w14:val="tx1"/>
            </w14:solidFill>
          </w14:textFill>
        </w:rPr>
        <w:t>/m</w:t>
      </w:r>
      <w:r>
        <w:rPr>
          <w:rFonts w:hint="eastAsia" w:ascii="宋体" w:hAnsi="宋体" w:eastAsia="宋体" w:cs="宋体"/>
          <w:color w:val="000000" w:themeColor="text1"/>
          <w:sz w:val="24"/>
          <w:szCs w:val="24"/>
          <w:highlight w:val="none"/>
          <w:vertAlign w:val="superscript"/>
          <w14:textFill>
            <w14:solidFill>
              <w14:schemeClr w14:val="tx1"/>
            </w14:solidFill>
          </w14:textFill>
        </w:rPr>
        <w:t>3</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highlight w:val="none"/>
          <w:vertAlign w:val="baseline"/>
          <w:lang w:val="en-US" w:eastAsia="zh-CN"/>
          <w14:textFill>
            <w14:solidFill>
              <w14:schemeClr w14:val="tx1"/>
            </w14:solidFill>
          </w14:textFill>
        </w:rPr>
        <w:t>臭气</w:t>
      </w:r>
      <w:r>
        <w:rPr>
          <w:rFonts w:hint="eastAsia" w:ascii="宋体" w:hAnsi="宋体" w:eastAsia="宋体" w:cs="宋体"/>
          <w:color w:val="000000" w:themeColor="text1"/>
          <w:sz w:val="24"/>
          <w:szCs w:val="24"/>
          <w:lang w:eastAsia="zh-CN"/>
          <w14:textFill>
            <w14:solidFill>
              <w14:schemeClr w14:val="tx1"/>
            </w14:solidFill>
          </w14:textFill>
        </w:rPr>
        <w:t>检测</w:t>
      </w:r>
      <w:r>
        <w:rPr>
          <w:rFonts w:hint="eastAsia" w:ascii="宋体" w:hAnsi="宋体" w:eastAsia="宋体" w:cs="宋体"/>
          <w:color w:val="000000" w:themeColor="text1"/>
          <w:sz w:val="24"/>
          <w:szCs w:val="24"/>
          <w14:textFill>
            <w14:solidFill>
              <w14:schemeClr w14:val="tx1"/>
            </w14:solidFill>
          </w14:textFill>
        </w:rPr>
        <w:t>浓度</w:t>
      </w:r>
      <w:r>
        <w:rPr>
          <w:rFonts w:hint="eastAsia" w:ascii="宋体" w:hAnsi="宋体" w:eastAsia="宋体" w:cs="宋体"/>
          <w:color w:val="000000" w:themeColor="text1"/>
          <w:sz w:val="24"/>
          <w:szCs w:val="24"/>
          <w:lang w:val="en-US" w:eastAsia="zh-CN"/>
          <w14:textFill>
            <w14:solidFill>
              <w14:schemeClr w14:val="tx1"/>
            </w14:solidFill>
          </w14:textFill>
        </w:rPr>
        <w:t>低于检出限。</w:t>
      </w:r>
    </w:p>
    <w:p w14:paraId="0F21AD7F">
      <w:pPr>
        <w:spacing w:line="360" w:lineRule="auto"/>
        <w:ind w:firstLine="480" w:firstLineChars="200"/>
        <w:jc w:val="both"/>
        <w:rPr>
          <w:rFonts w:hint="eastAsia" w:ascii="宋体" w:hAnsi="宋体" w:eastAsia="宋体" w:cs="宋体"/>
          <w:color w:val="000000" w:themeColor="text1"/>
          <w:sz w:val="24"/>
          <w:szCs w:val="24"/>
          <w:vertAlign w:val="baseline"/>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根据无组织排放源监测结果可知，</w:t>
      </w:r>
      <w:r>
        <w:rPr>
          <w:rFonts w:hint="eastAsia" w:ascii="宋体" w:hAnsi="宋体" w:eastAsia="宋体" w:cs="宋体"/>
          <w:color w:val="000000" w:themeColor="text1"/>
          <w:sz w:val="24"/>
          <w:szCs w:val="24"/>
          <w:lang w:val="en-US" w:eastAsia="zh-CN"/>
          <w14:textFill>
            <w14:solidFill>
              <w14:schemeClr w14:val="tx1"/>
            </w14:solidFill>
          </w14:textFill>
        </w:rPr>
        <w:t>厂界氨、硫化氢、臭气</w:t>
      </w:r>
      <w:r>
        <w:rPr>
          <w:rFonts w:hint="eastAsia" w:ascii="宋体" w:hAnsi="宋体" w:eastAsia="宋体" w:cs="宋体"/>
          <w:color w:val="000000" w:themeColor="text1"/>
          <w:sz w:val="24"/>
          <w:szCs w:val="24"/>
          <w14:textFill>
            <w14:solidFill>
              <w14:schemeClr w14:val="tx1"/>
            </w14:solidFill>
          </w14:textFill>
        </w:rPr>
        <w:t>无组织排放满足</w:t>
      </w:r>
      <w:r>
        <w:rPr>
          <w:rFonts w:hint="eastAsia" w:ascii="宋体" w:hAnsi="宋体" w:eastAsia="宋体" w:cs="宋体"/>
          <w:color w:val="000000" w:themeColor="text1"/>
          <w:kern w:val="0"/>
          <w:sz w:val="24"/>
          <w:szCs w:val="20"/>
          <w:lang w:val="en-US" w:eastAsia="zh-CN" w:bidi="ar-SA"/>
          <w14:textFill>
            <w14:solidFill>
              <w14:schemeClr w14:val="tx1"/>
            </w14:solidFill>
          </w14:textFill>
        </w:rPr>
        <w:t>《城镇污水处理厂污染物排放标准》（GB18918—2002）二级标准中废气无组织排放浓度限值要求；敏感点安王村、姜庄</w:t>
      </w:r>
      <w:r>
        <w:rPr>
          <w:rFonts w:hint="eastAsia" w:ascii="宋体" w:hAnsi="宋体" w:eastAsia="宋体" w:cs="宋体"/>
          <w:color w:val="000000" w:themeColor="text1"/>
          <w:sz w:val="24"/>
          <w:szCs w:val="24"/>
          <w:lang w:val="en-US" w:eastAsia="zh-CN"/>
          <w14:textFill>
            <w14:solidFill>
              <w14:schemeClr w14:val="tx1"/>
            </w14:solidFill>
          </w14:textFill>
        </w:rPr>
        <w:t>氨、硫化氢、臭气</w:t>
      </w:r>
      <w:r>
        <w:rPr>
          <w:rFonts w:hint="eastAsia" w:ascii="宋体" w:hAnsi="宋体" w:eastAsia="宋体" w:cs="宋体"/>
          <w:color w:val="000000" w:themeColor="text1"/>
          <w:kern w:val="0"/>
          <w:sz w:val="24"/>
          <w:szCs w:val="20"/>
          <w:lang w:val="en-US" w:eastAsia="zh-CN" w:bidi="ar-SA"/>
          <w14:textFill>
            <w14:solidFill>
              <w14:schemeClr w14:val="tx1"/>
            </w14:solidFill>
          </w14:textFill>
        </w:rPr>
        <w:t>达到《环境影响评价技术导则 大气环境》（HJ 2.2-2018）中附录D中标准限值要求</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达标率为100%；</w:t>
      </w:r>
    </w:p>
    <w:p w14:paraId="50036DA8">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1"/>
        <w:rPr>
          <w:rFonts w:hint="eastAsia" w:ascii="宋体" w:hAnsi="宋体" w:eastAsia="宋体" w:cs="宋体"/>
          <w:b/>
          <w:bCs/>
          <w:color w:val="000000" w:themeColor="text1"/>
          <w:kern w:val="0"/>
          <w:sz w:val="28"/>
          <w:szCs w:val="28"/>
          <w:lang w:val="en-US" w:eastAsia="zh-CN" w:bidi="ar"/>
          <w14:textFill>
            <w14:solidFill>
              <w14:schemeClr w14:val="tx1"/>
            </w14:solidFill>
          </w14:textFill>
        </w:rPr>
      </w:pPr>
      <w:bookmarkStart w:id="70" w:name="_Toc5998"/>
      <w:r>
        <w:rPr>
          <w:rFonts w:hint="eastAsia" w:ascii="宋体" w:hAnsi="宋体" w:eastAsia="宋体" w:cs="宋体"/>
          <w:b/>
          <w:bCs/>
          <w:color w:val="000000" w:themeColor="text1"/>
          <w:kern w:val="0"/>
          <w:sz w:val="28"/>
          <w:szCs w:val="28"/>
          <w:lang w:val="en-US" w:eastAsia="zh-CN" w:bidi="ar"/>
          <w14:textFill>
            <w14:solidFill>
              <w14:schemeClr w14:val="tx1"/>
            </w14:solidFill>
          </w14:textFill>
        </w:rPr>
        <w:t>9.3  废水监测结果及评价</w:t>
      </w:r>
      <w:bookmarkEnd w:id="70"/>
    </w:p>
    <w:p w14:paraId="2E11A1D0">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b w:val="0"/>
          <w:bCs w:val="0"/>
          <w:color w:val="000000" w:themeColor="text1"/>
          <w:kern w:val="2"/>
          <w:sz w:val="24"/>
          <w:szCs w:val="20"/>
          <w:lang w:val="en-US" w:eastAsia="zh-CN" w:bidi="ar-SA"/>
          <w14:textFill>
            <w14:solidFill>
              <w14:schemeClr w14:val="tx1"/>
            </w14:solidFill>
          </w14:textFill>
        </w:rPr>
        <w:sectPr>
          <w:pgSz w:w="11906" w:h="16838"/>
          <w:pgMar w:top="1440" w:right="1800" w:bottom="1440" w:left="1800" w:header="850" w:footer="1020" w:gutter="0"/>
          <w:pgBorders w:offsetFrom="page">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eastAsia="宋体" w:cs="宋体"/>
          <w:b w:val="0"/>
          <w:bCs w:val="0"/>
          <w:color w:val="000000" w:themeColor="text1"/>
          <w:kern w:val="2"/>
          <w:sz w:val="24"/>
          <w:szCs w:val="20"/>
          <w:lang w:val="en-US" w:eastAsia="zh-CN" w:bidi="ar-SA"/>
          <w14:textFill>
            <w14:solidFill>
              <w14:schemeClr w14:val="tx1"/>
            </w14:solidFill>
          </w14:textFill>
        </w:rPr>
        <w:t>项目</w:t>
      </w:r>
      <w:r>
        <w:rPr>
          <w:rFonts w:hint="eastAsia" w:ascii="宋体" w:hAnsi="宋体" w:eastAsia="宋体" w:cs="宋体"/>
          <w:color w:val="000000" w:themeColor="text1"/>
          <w:kern w:val="0"/>
          <w:sz w:val="24"/>
          <w:szCs w:val="20"/>
          <w:lang w:val="en-US" w:eastAsia="zh-CN" w:bidi="ar-SA"/>
          <w14:textFill>
            <w14:solidFill>
              <w14:schemeClr w14:val="tx1"/>
            </w14:solidFill>
          </w14:textFill>
        </w:rPr>
        <w:t>废水处理设施的进出口</w:t>
      </w:r>
      <w:r>
        <w:rPr>
          <w:rFonts w:hint="eastAsia" w:ascii="宋体" w:hAnsi="宋体" w:eastAsia="宋体" w:cs="宋体"/>
          <w:b w:val="0"/>
          <w:bCs w:val="0"/>
          <w:color w:val="000000" w:themeColor="text1"/>
          <w:kern w:val="2"/>
          <w:sz w:val="24"/>
          <w:szCs w:val="20"/>
          <w:lang w:val="en-US" w:eastAsia="zh-CN" w:bidi="ar-SA"/>
          <w14:textFill>
            <w14:solidFill>
              <w14:schemeClr w14:val="tx1"/>
            </w14:solidFill>
          </w14:textFill>
        </w:rPr>
        <w:t>各污染因子检测结果见表9.3-1。</w:t>
      </w:r>
    </w:p>
    <w:p w14:paraId="469082F6">
      <w:pPr>
        <w:jc w:val="center"/>
        <w:rPr>
          <w:rFonts w:hint="eastAsia" w:ascii="宋体" w:hAnsi="宋体" w:eastAsia="宋体" w:cs="宋体"/>
          <w:b/>
          <w:bCs/>
        </w:rPr>
      </w:pPr>
      <w:r>
        <w:rPr>
          <w:rFonts w:hint="eastAsia" w:ascii="宋体" w:hAnsi="宋体" w:eastAsia="宋体" w:cs="宋体"/>
          <w:b/>
          <w:bCs/>
        </w:rPr>
        <w:t>表</w:t>
      </w:r>
      <w:r>
        <w:rPr>
          <w:rFonts w:hint="eastAsia" w:ascii="宋体" w:hAnsi="宋体" w:eastAsia="宋体" w:cs="宋体"/>
          <w:b/>
          <w:bCs/>
          <w:lang w:val="en-US" w:eastAsia="zh-CN"/>
        </w:rPr>
        <w:t>9.3-1</w:t>
      </w:r>
      <w:r>
        <w:rPr>
          <w:rFonts w:hint="eastAsia" w:ascii="宋体" w:hAnsi="宋体" w:eastAsia="宋体" w:cs="宋体"/>
          <w:b/>
          <w:bCs/>
        </w:rPr>
        <w:t xml:space="preserve">  </w:t>
      </w:r>
      <w:r>
        <w:rPr>
          <w:rFonts w:hint="eastAsia" w:ascii="宋体" w:hAnsi="宋体" w:eastAsia="宋体" w:cs="宋体"/>
          <w:b/>
          <w:bCs/>
          <w:lang w:val="en-US" w:eastAsia="zh-CN"/>
        </w:rPr>
        <w:t>废水</w:t>
      </w:r>
      <w:r>
        <w:rPr>
          <w:rFonts w:hint="eastAsia" w:ascii="宋体" w:hAnsi="宋体" w:eastAsia="宋体" w:cs="宋体"/>
          <w:b/>
          <w:bCs/>
          <w:lang w:eastAsia="zh-CN"/>
        </w:rPr>
        <w:t>检测</w:t>
      </w:r>
      <w:r>
        <w:rPr>
          <w:rFonts w:hint="eastAsia" w:ascii="宋体" w:hAnsi="宋体" w:eastAsia="宋体" w:cs="宋体"/>
          <w:b/>
          <w:bCs/>
        </w:rPr>
        <w:t>结果</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66"/>
        <w:gridCol w:w="1596"/>
        <w:gridCol w:w="950"/>
        <w:gridCol w:w="690"/>
        <w:gridCol w:w="1004"/>
        <w:gridCol w:w="1004"/>
        <w:gridCol w:w="1004"/>
        <w:gridCol w:w="1004"/>
        <w:gridCol w:w="950"/>
        <w:gridCol w:w="690"/>
        <w:gridCol w:w="1004"/>
        <w:gridCol w:w="1004"/>
        <w:gridCol w:w="1004"/>
        <w:gridCol w:w="1004"/>
      </w:tblGrid>
      <w:tr w14:paraId="7DA27F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0" w:type="auto"/>
            <w:vMerge w:val="restart"/>
            <w:noWrap w:val="0"/>
            <w:vAlign w:val="center"/>
          </w:tcPr>
          <w:p w14:paraId="06F2E4B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采样日期</w:t>
            </w:r>
          </w:p>
        </w:tc>
        <w:tc>
          <w:tcPr>
            <w:tcW w:w="0" w:type="auto"/>
            <w:vMerge w:val="restart"/>
            <w:shd w:val="clear" w:color="auto" w:fill="auto"/>
            <w:noWrap w:val="0"/>
            <w:vAlign w:val="center"/>
          </w:tcPr>
          <w:p w14:paraId="1B6E054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检测项目</w:t>
            </w:r>
          </w:p>
        </w:tc>
        <w:tc>
          <w:tcPr>
            <w:tcW w:w="0" w:type="auto"/>
            <w:vMerge w:val="restart"/>
            <w:noWrap w:val="0"/>
            <w:vAlign w:val="center"/>
          </w:tcPr>
          <w:p w14:paraId="4CA4051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采样点</w:t>
            </w:r>
          </w:p>
        </w:tc>
        <w:tc>
          <w:tcPr>
            <w:tcW w:w="0" w:type="auto"/>
            <w:vMerge w:val="restart"/>
            <w:noWrap w:val="0"/>
            <w:vAlign w:val="center"/>
          </w:tcPr>
          <w:p w14:paraId="0B9E446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样品状态</w:t>
            </w:r>
          </w:p>
        </w:tc>
        <w:tc>
          <w:tcPr>
            <w:tcW w:w="0" w:type="auto"/>
            <w:gridSpan w:val="4"/>
            <w:noWrap w:val="0"/>
            <w:vAlign w:val="center"/>
          </w:tcPr>
          <w:p w14:paraId="324E11D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检测结果（mg/L，pH无量纲）</w:t>
            </w:r>
          </w:p>
        </w:tc>
        <w:tc>
          <w:tcPr>
            <w:tcW w:w="0" w:type="auto"/>
            <w:vMerge w:val="restart"/>
            <w:noWrap w:val="0"/>
            <w:vAlign w:val="center"/>
          </w:tcPr>
          <w:p w14:paraId="2CBC3A2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采样点</w:t>
            </w:r>
          </w:p>
        </w:tc>
        <w:tc>
          <w:tcPr>
            <w:tcW w:w="0" w:type="auto"/>
            <w:vMerge w:val="restart"/>
            <w:noWrap w:val="0"/>
            <w:vAlign w:val="center"/>
          </w:tcPr>
          <w:p w14:paraId="62CFD73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样品状态</w:t>
            </w:r>
          </w:p>
        </w:tc>
        <w:tc>
          <w:tcPr>
            <w:tcW w:w="0" w:type="auto"/>
            <w:gridSpan w:val="4"/>
            <w:noWrap w:val="0"/>
            <w:vAlign w:val="center"/>
          </w:tcPr>
          <w:p w14:paraId="5AEA8F6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检测结果（mg/L，pH无量纲）</w:t>
            </w:r>
          </w:p>
        </w:tc>
      </w:tr>
      <w:tr w14:paraId="05C0B1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0" w:type="auto"/>
            <w:vMerge w:val="continue"/>
            <w:noWrap w:val="0"/>
            <w:vAlign w:val="center"/>
          </w:tcPr>
          <w:p w14:paraId="1C07CC4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p>
        </w:tc>
        <w:tc>
          <w:tcPr>
            <w:tcW w:w="0" w:type="auto"/>
            <w:vMerge w:val="continue"/>
            <w:noWrap w:val="0"/>
            <w:vAlign w:val="center"/>
          </w:tcPr>
          <w:p w14:paraId="4FD9FCB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p>
        </w:tc>
        <w:tc>
          <w:tcPr>
            <w:tcW w:w="0" w:type="auto"/>
            <w:vMerge w:val="continue"/>
            <w:noWrap w:val="0"/>
            <w:vAlign w:val="center"/>
          </w:tcPr>
          <w:p w14:paraId="1EBDF45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p>
        </w:tc>
        <w:tc>
          <w:tcPr>
            <w:tcW w:w="0" w:type="auto"/>
            <w:vMerge w:val="continue"/>
            <w:noWrap w:val="0"/>
            <w:vAlign w:val="center"/>
          </w:tcPr>
          <w:p w14:paraId="2B4E041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p>
        </w:tc>
        <w:tc>
          <w:tcPr>
            <w:tcW w:w="0" w:type="auto"/>
            <w:noWrap w:val="0"/>
            <w:vAlign w:val="center"/>
          </w:tcPr>
          <w:p w14:paraId="50701A4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第一次</w:t>
            </w:r>
          </w:p>
        </w:tc>
        <w:tc>
          <w:tcPr>
            <w:tcW w:w="0" w:type="auto"/>
            <w:noWrap w:val="0"/>
            <w:vAlign w:val="center"/>
          </w:tcPr>
          <w:p w14:paraId="28CD9C4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第二次</w:t>
            </w:r>
          </w:p>
        </w:tc>
        <w:tc>
          <w:tcPr>
            <w:tcW w:w="0" w:type="auto"/>
            <w:noWrap w:val="0"/>
            <w:vAlign w:val="center"/>
          </w:tcPr>
          <w:p w14:paraId="4743740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第三次</w:t>
            </w:r>
          </w:p>
        </w:tc>
        <w:tc>
          <w:tcPr>
            <w:tcW w:w="0" w:type="auto"/>
            <w:noWrap w:val="0"/>
            <w:vAlign w:val="center"/>
          </w:tcPr>
          <w:p w14:paraId="3A8AF34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val="en-US" w:eastAsia="zh-CN"/>
              </w:rPr>
              <w:t>第四次</w:t>
            </w:r>
          </w:p>
        </w:tc>
        <w:tc>
          <w:tcPr>
            <w:tcW w:w="0" w:type="auto"/>
            <w:vMerge w:val="continue"/>
            <w:noWrap w:val="0"/>
            <w:vAlign w:val="center"/>
          </w:tcPr>
          <w:p w14:paraId="256BCD0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p>
        </w:tc>
        <w:tc>
          <w:tcPr>
            <w:tcW w:w="0" w:type="auto"/>
            <w:vMerge w:val="continue"/>
            <w:shd w:val="clear" w:color="auto" w:fill="auto"/>
            <w:noWrap w:val="0"/>
            <w:vAlign w:val="center"/>
          </w:tcPr>
          <w:p w14:paraId="30ACDAC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p>
        </w:tc>
        <w:tc>
          <w:tcPr>
            <w:tcW w:w="0" w:type="auto"/>
            <w:shd w:val="clear" w:color="auto" w:fill="auto"/>
            <w:noWrap w:val="0"/>
            <w:vAlign w:val="center"/>
          </w:tcPr>
          <w:p w14:paraId="2844BAA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sz w:val="21"/>
                <w:szCs w:val="21"/>
              </w:rPr>
              <w:t>第一次</w:t>
            </w:r>
          </w:p>
        </w:tc>
        <w:tc>
          <w:tcPr>
            <w:tcW w:w="0" w:type="auto"/>
            <w:shd w:val="clear" w:color="auto" w:fill="auto"/>
            <w:noWrap w:val="0"/>
            <w:vAlign w:val="center"/>
          </w:tcPr>
          <w:p w14:paraId="4EAC802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sz w:val="21"/>
                <w:szCs w:val="21"/>
              </w:rPr>
              <w:t>第二次</w:t>
            </w:r>
          </w:p>
        </w:tc>
        <w:tc>
          <w:tcPr>
            <w:tcW w:w="0" w:type="auto"/>
            <w:shd w:val="clear" w:color="auto" w:fill="auto"/>
            <w:noWrap w:val="0"/>
            <w:vAlign w:val="center"/>
          </w:tcPr>
          <w:p w14:paraId="58D7C01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sz w:val="21"/>
                <w:szCs w:val="21"/>
              </w:rPr>
              <w:t>第三次</w:t>
            </w:r>
          </w:p>
        </w:tc>
        <w:tc>
          <w:tcPr>
            <w:tcW w:w="0" w:type="auto"/>
            <w:shd w:val="clear" w:color="auto" w:fill="auto"/>
            <w:noWrap w:val="0"/>
            <w:vAlign w:val="center"/>
          </w:tcPr>
          <w:p w14:paraId="0BF2FA6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sz w:val="21"/>
                <w:szCs w:val="21"/>
                <w:lang w:val="en-US" w:eastAsia="zh-CN"/>
              </w:rPr>
              <w:t>第四次</w:t>
            </w:r>
          </w:p>
        </w:tc>
      </w:tr>
      <w:tr w14:paraId="0BF767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0" w:type="auto"/>
            <w:vMerge w:val="restart"/>
            <w:noWrap w:val="0"/>
            <w:vAlign w:val="center"/>
          </w:tcPr>
          <w:p w14:paraId="7EE78F1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2025-02-13</w:t>
            </w:r>
          </w:p>
        </w:tc>
        <w:tc>
          <w:tcPr>
            <w:tcW w:w="0" w:type="auto"/>
            <w:shd w:val="clear" w:color="auto" w:fill="auto"/>
            <w:noWrap w:val="0"/>
            <w:vAlign w:val="center"/>
          </w:tcPr>
          <w:p w14:paraId="0DE2FF71">
            <w:pPr>
              <w:jc w:val="center"/>
              <w:rPr>
                <w:rFonts w:hint="eastAsia" w:ascii="宋体" w:hAnsi="宋体" w:eastAsia="宋体" w:cs="宋体"/>
                <w:color w:val="auto"/>
                <w:kern w:val="0"/>
                <w:sz w:val="21"/>
                <w:szCs w:val="21"/>
                <w:lang w:val="en-US" w:eastAsia="zh-CN"/>
              </w:rPr>
            </w:pPr>
            <w:r>
              <w:rPr>
                <w:rFonts w:hint="eastAsia" w:ascii="宋体" w:hAnsi="宋体" w:eastAsia="宋体" w:cs="宋体"/>
                <w:sz w:val="21"/>
                <w:szCs w:val="21"/>
              </w:rPr>
              <w:t>pH</w:t>
            </w:r>
            <w:r>
              <w:rPr>
                <w:rFonts w:hint="eastAsia" w:ascii="宋体" w:hAnsi="宋体" w:eastAsia="宋体" w:cs="宋体"/>
                <w:sz w:val="21"/>
                <w:szCs w:val="21"/>
                <w:lang w:eastAsia="zh-CN"/>
              </w:rPr>
              <w:t>值</w:t>
            </w:r>
          </w:p>
        </w:tc>
        <w:tc>
          <w:tcPr>
            <w:tcW w:w="0" w:type="auto"/>
            <w:vMerge w:val="restart"/>
            <w:noWrap w:val="0"/>
            <w:vAlign w:val="center"/>
          </w:tcPr>
          <w:p w14:paraId="1EEC011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污水处理站进口</w:t>
            </w:r>
          </w:p>
        </w:tc>
        <w:tc>
          <w:tcPr>
            <w:tcW w:w="0" w:type="auto"/>
            <w:vMerge w:val="restart"/>
            <w:shd w:val="clear" w:color="auto" w:fill="auto"/>
            <w:noWrap w:val="0"/>
            <w:vAlign w:val="center"/>
          </w:tcPr>
          <w:p w14:paraId="677DCB2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浑浊</w:t>
            </w:r>
          </w:p>
        </w:tc>
        <w:tc>
          <w:tcPr>
            <w:tcW w:w="0" w:type="auto"/>
            <w:shd w:val="clear" w:color="auto" w:fill="auto"/>
            <w:noWrap w:val="0"/>
            <w:vAlign w:val="center"/>
          </w:tcPr>
          <w:p w14:paraId="3CE16162">
            <w:pPr>
              <w:keepNext w:val="0"/>
              <w:keepLines w:val="0"/>
              <w:widowControl/>
              <w:suppressLineNumbers w:val="0"/>
              <w:jc w:val="center"/>
              <w:textAlignment w:val="bottom"/>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t>
            </w:r>
          </w:p>
        </w:tc>
        <w:tc>
          <w:tcPr>
            <w:tcW w:w="0" w:type="auto"/>
            <w:shd w:val="clear" w:color="auto" w:fill="auto"/>
            <w:noWrap w:val="0"/>
            <w:vAlign w:val="center"/>
          </w:tcPr>
          <w:p w14:paraId="28C189DC">
            <w:pPr>
              <w:keepNext w:val="0"/>
              <w:keepLines w:val="0"/>
              <w:widowControl/>
              <w:suppressLineNumbers w:val="0"/>
              <w:jc w:val="center"/>
              <w:textAlignment w:val="bottom"/>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t>
            </w:r>
          </w:p>
        </w:tc>
        <w:tc>
          <w:tcPr>
            <w:tcW w:w="0" w:type="auto"/>
            <w:shd w:val="clear" w:color="auto" w:fill="auto"/>
            <w:noWrap w:val="0"/>
            <w:vAlign w:val="center"/>
          </w:tcPr>
          <w:p w14:paraId="541B9277">
            <w:pPr>
              <w:keepNext w:val="0"/>
              <w:keepLines w:val="0"/>
              <w:widowControl/>
              <w:suppressLineNumbers w:val="0"/>
              <w:jc w:val="center"/>
              <w:textAlignment w:val="bottom"/>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t>
            </w:r>
          </w:p>
        </w:tc>
        <w:tc>
          <w:tcPr>
            <w:tcW w:w="0" w:type="auto"/>
            <w:shd w:val="clear" w:color="auto" w:fill="auto"/>
            <w:noWrap w:val="0"/>
            <w:vAlign w:val="center"/>
          </w:tcPr>
          <w:p w14:paraId="7BBA6D3A">
            <w:pPr>
              <w:keepNext w:val="0"/>
              <w:keepLines w:val="0"/>
              <w:widowControl/>
              <w:suppressLineNumbers w:val="0"/>
              <w:jc w:val="center"/>
              <w:textAlignment w:val="bottom"/>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t>
            </w:r>
          </w:p>
        </w:tc>
        <w:tc>
          <w:tcPr>
            <w:tcW w:w="0" w:type="auto"/>
            <w:vMerge w:val="restart"/>
            <w:noWrap w:val="0"/>
            <w:vAlign w:val="center"/>
          </w:tcPr>
          <w:p w14:paraId="68EE4D3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color w:val="auto"/>
                <w:kern w:val="0"/>
                <w:sz w:val="21"/>
                <w:szCs w:val="21"/>
                <w:lang w:val="en-US" w:eastAsia="zh-CN"/>
              </w:rPr>
              <w:t>污水处理站出口</w:t>
            </w:r>
          </w:p>
        </w:tc>
        <w:tc>
          <w:tcPr>
            <w:tcW w:w="0" w:type="auto"/>
            <w:vMerge w:val="restart"/>
            <w:shd w:val="clear" w:color="auto" w:fill="auto"/>
            <w:noWrap w:val="0"/>
            <w:vAlign w:val="center"/>
          </w:tcPr>
          <w:p w14:paraId="0EFFA8A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auto"/>
                <w:kern w:val="0"/>
                <w:sz w:val="21"/>
                <w:szCs w:val="21"/>
                <w:lang w:val="en-US" w:eastAsia="zh-CN"/>
              </w:rPr>
            </w:pPr>
            <w:r>
              <w:rPr>
                <w:rFonts w:hint="eastAsia" w:ascii="Times New Roman" w:hAnsi="Times New Roman" w:eastAsia="宋体" w:cs="Times New Roman"/>
                <w:b w:val="0"/>
                <w:bCs w:val="0"/>
                <w:color w:val="000000"/>
                <w:sz w:val="21"/>
                <w:szCs w:val="21"/>
                <w:lang w:val="en-US" w:eastAsia="zh-CN"/>
              </w:rPr>
              <w:t>清</w:t>
            </w:r>
          </w:p>
        </w:tc>
        <w:tc>
          <w:tcPr>
            <w:tcW w:w="0" w:type="auto"/>
            <w:shd w:val="clear" w:color="auto" w:fill="auto"/>
            <w:noWrap w:val="0"/>
            <w:vAlign w:val="center"/>
          </w:tcPr>
          <w:p w14:paraId="596C9A2C">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7.8</w:t>
            </w:r>
          </w:p>
        </w:tc>
        <w:tc>
          <w:tcPr>
            <w:tcW w:w="0" w:type="auto"/>
            <w:shd w:val="clear" w:color="auto" w:fill="auto"/>
            <w:noWrap w:val="0"/>
            <w:vAlign w:val="center"/>
          </w:tcPr>
          <w:p w14:paraId="6E73730D">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7.9</w:t>
            </w:r>
          </w:p>
        </w:tc>
        <w:tc>
          <w:tcPr>
            <w:tcW w:w="0" w:type="auto"/>
            <w:shd w:val="clear" w:color="auto" w:fill="auto"/>
            <w:noWrap w:val="0"/>
            <w:vAlign w:val="center"/>
          </w:tcPr>
          <w:p w14:paraId="18B085C2">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7.8</w:t>
            </w:r>
          </w:p>
        </w:tc>
        <w:tc>
          <w:tcPr>
            <w:tcW w:w="0" w:type="auto"/>
            <w:shd w:val="clear" w:color="auto" w:fill="auto"/>
            <w:noWrap w:val="0"/>
            <w:vAlign w:val="center"/>
          </w:tcPr>
          <w:p w14:paraId="7431D7FF">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7.9</w:t>
            </w:r>
          </w:p>
        </w:tc>
      </w:tr>
      <w:tr w14:paraId="2B971B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0" w:type="auto"/>
            <w:vMerge w:val="continue"/>
            <w:noWrap w:val="0"/>
            <w:vAlign w:val="center"/>
          </w:tcPr>
          <w:p w14:paraId="501E9A3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000000"/>
                <w:kern w:val="2"/>
                <w:sz w:val="21"/>
                <w:szCs w:val="21"/>
                <w:lang w:val="en-US" w:eastAsia="zh-CN" w:bidi="ar-SA"/>
              </w:rPr>
            </w:pPr>
          </w:p>
        </w:tc>
        <w:tc>
          <w:tcPr>
            <w:tcW w:w="0" w:type="auto"/>
            <w:shd w:val="clear" w:color="auto" w:fill="auto"/>
            <w:noWrap w:val="0"/>
            <w:vAlign w:val="center"/>
          </w:tcPr>
          <w:p w14:paraId="58E5CF5D">
            <w:pPr>
              <w:jc w:val="center"/>
              <w:rPr>
                <w:rFonts w:hint="eastAsia" w:ascii="宋体" w:hAnsi="宋体" w:eastAsia="宋体" w:cs="宋体"/>
                <w:color w:val="auto"/>
                <w:kern w:val="0"/>
                <w:sz w:val="21"/>
                <w:szCs w:val="21"/>
                <w:lang w:val="en-US" w:eastAsia="zh-CN" w:bidi="ar-SA"/>
              </w:rPr>
            </w:pPr>
            <w:bookmarkStart w:id="71" w:name="OLE_LINK3"/>
            <w:r>
              <w:rPr>
                <w:rFonts w:hint="eastAsia" w:ascii="宋体" w:hAnsi="宋体" w:eastAsia="宋体" w:cs="宋体"/>
                <w:color w:val="auto"/>
                <w:kern w:val="0"/>
                <w:sz w:val="21"/>
                <w:szCs w:val="21"/>
                <w:lang w:val="en-US" w:eastAsia="zh-CN"/>
              </w:rPr>
              <w:t>SS</w:t>
            </w:r>
          </w:p>
          <w:bookmarkEnd w:id="71"/>
        </w:tc>
        <w:tc>
          <w:tcPr>
            <w:tcW w:w="0" w:type="auto"/>
            <w:vMerge w:val="continue"/>
            <w:noWrap w:val="0"/>
            <w:vAlign w:val="center"/>
          </w:tcPr>
          <w:p w14:paraId="2122F68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000000"/>
                <w:kern w:val="2"/>
                <w:sz w:val="21"/>
                <w:szCs w:val="21"/>
                <w:lang w:val="en-US" w:eastAsia="zh-CN" w:bidi="ar-SA"/>
              </w:rPr>
            </w:pPr>
          </w:p>
        </w:tc>
        <w:tc>
          <w:tcPr>
            <w:tcW w:w="0" w:type="auto"/>
            <w:vMerge w:val="continue"/>
            <w:shd w:val="clear" w:color="auto" w:fill="auto"/>
            <w:noWrap w:val="0"/>
            <w:vAlign w:val="center"/>
          </w:tcPr>
          <w:p w14:paraId="1F22CEA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000000"/>
                <w:kern w:val="2"/>
                <w:sz w:val="21"/>
                <w:szCs w:val="21"/>
                <w:lang w:val="en-US" w:eastAsia="zh-CN" w:bidi="ar-SA"/>
              </w:rPr>
            </w:pPr>
          </w:p>
        </w:tc>
        <w:tc>
          <w:tcPr>
            <w:tcW w:w="0" w:type="auto"/>
            <w:shd w:val="clear" w:color="auto" w:fill="auto"/>
            <w:noWrap w:val="0"/>
            <w:vAlign w:val="center"/>
          </w:tcPr>
          <w:p w14:paraId="1821B1B3">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11</w:t>
            </w:r>
          </w:p>
        </w:tc>
        <w:tc>
          <w:tcPr>
            <w:tcW w:w="0" w:type="auto"/>
            <w:shd w:val="clear" w:color="auto" w:fill="auto"/>
            <w:noWrap w:val="0"/>
            <w:vAlign w:val="center"/>
          </w:tcPr>
          <w:p w14:paraId="708455C1">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9</w:t>
            </w:r>
          </w:p>
        </w:tc>
        <w:tc>
          <w:tcPr>
            <w:tcW w:w="0" w:type="auto"/>
            <w:shd w:val="clear" w:color="auto" w:fill="auto"/>
            <w:noWrap w:val="0"/>
            <w:vAlign w:val="center"/>
          </w:tcPr>
          <w:p w14:paraId="2F2784BA">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13</w:t>
            </w:r>
          </w:p>
        </w:tc>
        <w:tc>
          <w:tcPr>
            <w:tcW w:w="0" w:type="auto"/>
            <w:shd w:val="clear" w:color="auto" w:fill="auto"/>
            <w:noWrap w:val="0"/>
            <w:vAlign w:val="center"/>
          </w:tcPr>
          <w:p w14:paraId="70BD6E23">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10</w:t>
            </w:r>
          </w:p>
        </w:tc>
        <w:tc>
          <w:tcPr>
            <w:tcW w:w="0" w:type="auto"/>
            <w:vMerge w:val="continue"/>
            <w:noWrap w:val="0"/>
            <w:vAlign w:val="center"/>
          </w:tcPr>
          <w:p w14:paraId="5D48CE0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kern w:val="2"/>
                <w:sz w:val="21"/>
                <w:szCs w:val="21"/>
                <w:highlight w:val="none"/>
                <w:lang w:val="en-US" w:eastAsia="zh-CN" w:bidi="ar-SA"/>
              </w:rPr>
            </w:pPr>
          </w:p>
        </w:tc>
        <w:tc>
          <w:tcPr>
            <w:tcW w:w="0" w:type="auto"/>
            <w:vMerge w:val="continue"/>
            <w:shd w:val="clear" w:color="auto" w:fill="auto"/>
            <w:noWrap w:val="0"/>
            <w:vAlign w:val="center"/>
          </w:tcPr>
          <w:p w14:paraId="33A5643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kern w:val="2"/>
                <w:sz w:val="21"/>
                <w:szCs w:val="21"/>
                <w:highlight w:val="none"/>
                <w:lang w:val="en-US" w:eastAsia="zh-CN" w:bidi="ar-SA"/>
              </w:rPr>
            </w:pPr>
          </w:p>
        </w:tc>
        <w:tc>
          <w:tcPr>
            <w:tcW w:w="0" w:type="auto"/>
            <w:shd w:val="clear" w:color="auto" w:fill="auto"/>
            <w:noWrap w:val="0"/>
            <w:vAlign w:val="center"/>
          </w:tcPr>
          <w:p w14:paraId="7108A873">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7</w:t>
            </w:r>
          </w:p>
        </w:tc>
        <w:tc>
          <w:tcPr>
            <w:tcW w:w="0" w:type="auto"/>
            <w:shd w:val="clear" w:color="auto" w:fill="auto"/>
            <w:noWrap w:val="0"/>
            <w:vAlign w:val="center"/>
          </w:tcPr>
          <w:p w14:paraId="79D15494">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8</w:t>
            </w:r>
          </w:p>
        </w:tc>
        <w:tc>
          <w:tcPr>
            <w:tcW w:w="0" w:type="auto"/>
            <w:shd w:val="clear" w:color="auto" w:fill="auto"/>
            <w:noWrap w:val="0"/>
            <w:vAlign w:val="center"/>
          </w:tcPr>
          <w:p w14:paraId="2DB279EF">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6</w:t>
            </w:r>
          </w:p>
        </w:tc>
        <w:tc>
          <w:tcPr>
            <w:tcW w:w="0" w:type="auto"/>
            <w:shd w:val="clear" w:color="auto" w:fill="auto"/>
            <w:noWrap w:val="0"/>
            <w:vAlign w:val="center"/>
          </w:tcPr>
          <w:p w14:paraId="3562BAB4">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8</w:t>
            </w:r>
          </w:p>
        </w:tc>
      </w:tr>
      <w:tr w14:paraId="0A4135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0" w:type="auto"/>
            <w:vMerge w:val="continue"/>
            <w:noWrap w:val="0"/>
            <w:vAlign w:val="center"/>
          </w:tcPr>
          <w:p w14:paraId="4E574EF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auto"/>
                <w:sz w:val="21"/>
                <w:szCs w:val="21"/>
              </w:rPr>
            </w:pPr>
          </w:p>
        </w:tc>
        <w:tc>
          <w:tcPr>
            <w:tcW w:w="0" w:type="auto"/>
            <w:shd w:val="clear" w:color="auto" w:fill="auto"/>
            <w:noWrap w:val="0"/>
            <w:vAlign w:val="center"/>
          </w:tcPr>
          <w:p w14:paraId="132C09D9">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氨氮</w:t>
            </w:r>
          </w:p>
        </w:tc>
        <w:tc>
          <w:tcPr>
            <w:tcW w:w="0" w:type="auto"/>
            <w:vMerge w:val="continue"/>
            <w:noWrap w:val="0"/>
            <w:vAlign w:val="center"/>
          </w:tcPr>
          <w:p w14:paraId="3DAF4E4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auto"/>
                <w:sz w:val="21"/>
                <w:szCs w:val="21"/>
              </w:rPr>
            </w:pPr>
          </w:p>
        </w:tc>
        <w:tc>
          <w:tcPr>
            <w:tcW w:w="0" w:type="auto"/>
            <w:vMerge w:val="continue"/>
            <w:shd w:val="clear" w:color="auto" w:fill="auto"/>
            <w:noWrap w:val="0"/>
            <w:vAlign w:val="center"/>
          </w:tcPr>
          <w:p w14:paraId="24E6D59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auto"/>
                <w:sz w:val="21"/>
                <w:szCs w:val="21"/>
              </w:rPr>
            </w:pPr>
          </w:p>
        </w:tc>
        <w:tc>
          <w:tcPr>
            <w:tcW w:w="0" w:type="auto"/>
            <w:shd w:val="clear" w:color="auto" w:fill="auto"/>
            <w:noWrap w:val="0"/>
            <w:vAlign w:val="center"/>
          </w:tcPr>
          <w:p w14:paraId="2A4C4DE2">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18.6</w:t>
            </w:r>
          </w:p>
        </w:tc>
        <w:tc>
          <w:tcPr>
            <w:tcW w:w="0" w:type="auto"/>
            <w:shd w:val="clear" w:color="auto" w:fill="auto"/>
            <w:noWrap w:val="0"/>
            <w:vAlign w:val="center"/>
          </w:tcPr>
          <w:p w14:paraId="392C6ECE">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18.7</w:t>
            </w:r>
          </w:p>
        </w:tc>
        <w:tc>
          <w:tcPr>
            <w:tcW w:w="0" w:type="auto"/>
            <w:shd w:val="clear" w:color="auto" w:fill="auto"/>
            <w:noWrap w:val="0"/>
            <w:vAlign w:val="center"/>
          </w:tcPr>
          <w:p w14:paraId="1CDD386F">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18.5</w:t>
            </w:r>
          </w:p>
        </w:tc>
        <w:tc>
          <w:tcPr>
            <w:tcW w:w="0" w:type="auto"/>
            <w:shd w:val="clear" w:color="auto" w:fill="auto"/>
            <w:noWrap w:val="0"/>
            <w:vAlign w:val="center"/>
          </w:tcPr>
          <w:p w14:paraId="14DAB700">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18.6</w:t>
            </w:r>
          </w:p>
        </w:tc>
        <w:tc>
          <w:tcPr>
            <w:tcW w:w="0" w:type="auto"/>
            <w:vMerge w:val="continue"/>
            <w:noWrap w:val="0"/>
            <w:vAlign w:val="center"/>
          </w:tcPr>
          <w:p w14:paraId="799000C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kern w:val="2"/>
                <w:sz w:val="21"/>
                <w:szCs w:val="21"/>
                <w:highlight w:val="none"/>
                <w:lang w:val="en-US" w:eastAsia="zh-CN" w:bidi="ar-SA"/>
              </w:rPr>
            </w:pPr>
          </w:p>
        </w:tc>
        <w:tc>
          <w:tcPr>
            <w:tcW w:w="0" w:type="auto"/>
            <w:vMerge w:val="continue"/>
            <w:shd w:val="clear" w:color="auto" w:fill="auto"/>
            <w:noWrap w:val="0"/>
            <w:vAlign w:val="center"/>
          </w:tcPr>
          <w:p w14:paraId="13C7644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kern w:val="2"/>
                <w:sz w:val="21"/>
                <w:szCs w:val="21"/>
                <w:highlight w:val="none"/>
                <w:lang w:val="en-US" w:eastAsia="zh-CN" w:bidi="ar-SA"/>
              </w:rPr>
            </w:pPr>
          </w:p>
        </w:tc>
        <w:tc>
          <w:tcPr>
            <w:tcW w:w="0" w:type="auto"/>
            <w:shd w:val="clear" w:color="auto" w:fill="auto"/>
            <w:noWrap w:val="0"/>
            <w:vAlign w:val="center"/>
          </w:tcPr>
          <w:p w14:paraId="2BAB66FD">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0.403</w:t>
            </w:r>
          </w:p>
        </w:tc>
        <w:tc>
          <w:tcPr>
            <w:tcW w:w="0" w:type="auto"/>
            <w:shd w:val="clear" w:color="auto" w:fill="auto"/>
            <w:noWrap w:val="0"/>
            <w:vAlign w:val="center"/>
          </w:tcPr>
          <w:p w14:paraId="72E5D73F">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0.434</w:t>
            </w:r>
          </w:p>
        </w:tc>
        <w:tc>
          <w:tcPr>
            <w:tcW w:w="0" w:type="auto"/>
            <w:shd w:val="clear" w:color="auto" w:fill="auto"/>
            <w:noWrap w:val="0"/>
            <w:vAlign w:val="center"/>
          </w:tcPr>
          <w:p w14:paraId="1B23EF05">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0.356</w:t>
            </w:r>
          </w:p>
        </w:tc>
        <w:tc>
          <w:tcPr>
            <w:tcW w:w="0" w:type="auto"/>
            <w:shd w:val="clear" w:color="auto" w:fill="auto"/>
            <w:noWrap w:val="0"/>
            <w:vAlign w:val="center"/>
          </w:tcPr>
          <w:p w14:paraId="047EC729">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0.419</w:t>
            </w:r>
          </w:p>
        </w:tc>
      </w:tr>
      <w:tr w14:paraId="7FD368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0" w:type="auto"/>
            <w:vMerge w:val="continue"/>
            <w:noWrap w:val="0"/>
            <w:vAlign w:val="center"/>
          </w:tcPr>
          <w:p w14:paraId="774CE4E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auto"/>
                <w:sz w:val="21"/>
                <w:szCs w:val="21"/>
              </w:rPr>
            </w:pPr>
          </w:p>
        </w:tc>
        <w:tc>
          <w:tcPr>
            <w:tcW w:w="0" w:type="auto"/>
            <w:shd w:val="clear" w:color="auto" w:fill="auto"/>
            <w:noWrap w:val="0"/>
            <w:vAlign w:val="center"/>
          </w:tcPr>
          <w:p w14:paraId="39D687F1">
            <w:pPr>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val="en-US" w:eastAsia="zh-CN"/>
              </w:rPr>
              <w:t>COD</w:t>
            </w:r>
          </w:p>
        </w:tc>
        <w:tc>
          <w:tcPr>
            <w:tcW w:w="0" w:type="auto"/>
            <w:vMerge w:val="continue"/>
            <w:noWrap w:val="0"/>
            <w:vAlign w:val="center"/>
          </w:tcPr>
          <w:p w14:paraId="116CC842">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0" w:type="auto"/>
            <w:vMerge w:val="continue"/>
            <w:shd w:val="clear" w:color="auto" w:fill="auto"/>
            <w:noWrap w:val="0"/>
            <w:vAlign w:val="center"/>
          </w:tcPr>
          <w:p w14:paraId="27BD6AD4">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0" w:type="auto"/>
            <w:shd w:val="clear" w:color="auto" w:fill="auto"/>
            <w:noWrap w:val="0"/>
            <w:vAlign w:val="center"/>
          </w:tcPr>
          <w:p w14:paraId="3B4A37BE">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116</w:t>
            </w:r>
          </w:p>
        </w:tc>
        <w:tc>
          <w:tcPr>
            <w:tcW w:w="0" w:type="auto"/>
            <w:shd w:val="clear" w:color="auto" w:fill="auto"/>
            <w:noWrap w:val="0"/>
            <w:vAlign w:val="center"/>
          </w:tcPr>
          <w:p w14:paraId="57386187">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107</w:t>
            </w:r>
          </w:p>
        </w:tc>
        <w:tc>
          <w:tcPr>
            <w:tcW w:w="0" w:type="auto"/>
            <w:shd w:val="clear" w:color="auto" w:fill="auto"/>
            <w:noWrap w:val="0"/>
            <w:vAlign w:val="center"/>
          </w:tcPr>
          <w:p w14:paraId="0A1F961F">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105</w:t>
            </w:r>
          </w:p>
        </w:tc>
        <w:tc>
          <w:tcPr>
            <w:tcW w:w="0" w:type="auto"/>
            <w:shd w:val="clear" w:color="auto" w:fill="auto"/>
            <w:noWrap w:val="0"/>
            <w:vAlign w:val="center"/>
          </w:tcPr>
          <w:p w14:paraId="01B2E635">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110</w:t>
            </w:r>
          </w:p>
        </w:tc>
        <w:tc>
          <w:tcPr>
            <w:tcW w:w="0" w:type="auto"/>
            <w:vMerge w:val="continue"/>
            <w:noWrap w:val="0"/>
            <w:vAlign w:val="center"/>
          </w:tcPr>
          <w:p w14:paraId="7653A04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kern w:val="2"/>
                <w:sz w:val="21"/>
                <w:szCs w:val="21"/>
                <w:highlight w:val="none"/>
                <w:lang w:val="en-US" w:eastAsia="zh-CN" w:bidi="ar-SA"/>
              </w:rPr>
            </w:pPr>
          </w:p>
        </w:tc>
        <w:tc>
          <w:tcPr>
            <w:tcW w:w="0" w:type="auto"/>
            <w:vMerge w:val="continue"/>
            <w:shd w:val="clear" w:color="auto" w:fill="auto"/>
            <w:noWrap w:val="0"/>
            <w:vAlign w:val="center"/>
          </w:tcPr>
          <w:p w14:paraId="369DE6A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kern w:val="2"/>
                <w:sz w:val="21"/>
                <w:szCs w:val="21"/>
                <w:highlight w:val="none"/>
                <w:lang w:val="en-US" w:eastAsia="zh-CN" w:bidi="ar-SA"/>
              </w:rPr>
            </w:pPr>
          </w:p>
        </w:tc>
        <w:tc>
          <w:tcPr>
            <w:tcW w:w="0" w:type="auto"/>
            <w:shd w:val="clear" w:color="auto" w:fill="auto"/>
            <w:noWrap w:val="0"/>
            <w:vAlign w:val="center"/>
          </w:tcPr>
          <w:p w14:paraId="1BC08C8E">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41</w:t>
            </w:r>
          </w:p>
        </w:tc>
        <w:tc>
          <w:tcPr>
            <w:tcW w:w="0" w:type="auto"/>
            <w:shd w:val="clear" w:color="auto" w:fill="auto"/>
            <w:noWrap w:val="0"/>
            <w:vAlign w:val="center"/>
          </w:tcPr>
          <w:p w14:paraId="189E0064">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42</w:t>
            </w:r>
          </w:p>
        </w:tc>
        <w:tc>
          <w:tcPr>
            <w:tcW w:w="0" w:type="auto"/>
            <w:shd w:val="clear" w:color="auto" w:fill="auto"/>
            <w:noWrap w:val="0"/>
            <w:vAlign w:val="center"/>
          </w:tcPr>
          <w:p w14:paraId="7DA98CD7">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43</w:t>
            </w:r>
          </w:p>
        </w:tc>
        <w:tc>
          <w:tcPr>
            <w:tcW w:w="0" w:type="auto"/>
            <w:shd w:val="clear" w:color="auto" w:fill="auto"/>
            <w:noWrap w:val="0"/>
            <w:vAlign w:val="center"/>
          </w:tcPr>
          <w:p w14:paraId="7F17CF2E">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40</w:t>
            </w:r>
          </w:p>
        </w:tc>
      </w:tr>
      <w:tr w14:paraId="674F08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0" w:type="auto"/>
            <w:vMerge w:val="continue"/>
            <w:noWrap w:val="0"/>
            <w:vAlign w:val="center"/>
          </w:tcPr>
          <w:p w14:paraId="73BA9F4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auto"/>
                <w:sz w:val="21"/>
                <w:szCs w:val="21"/>
              </w:rPr>
            </w:pPr>
          </w:p>
        </w:tc>
        <w:tc>
          <w:tcPr>
            <w:tcW w:w="0" w:type="auto"/>
            <w:shd w:val="clear" w:color="auto" w:fill="auto"/>
            <w:noWrap w:val="0"/>
            <w:vAlign w:val="center"/>
          </w:tcPr>
          <w:p w14:paraId="4783942C">
            <w:pPr>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BOD</w:t>
            </w:r>
            <w:r>
              <w:rPr>
                <w:rFonts w:hint="eastAsia" w:ascii="宋体" w:hAnsi="宋体" w:eastAsia="宋体" w:cs="宋体"/>
                <w:color w:val="000000"/>
                <w:kern w:val="0"/>
                <w:sz w:val="21"/>
                <w:szCs w:val="21"/>
                <w:vertAlign w:val="subscript"/>
                <w:lang w:val="en-US" w:eastAsia="zh-CN" w:bidi="ar-SA"/>
              </w:rPr>
              <w:t>5</w:t>
            </w:r>
          </w:p>
        </w:tc>
        <w:tc>
          <w:tcPr>
            <w:tcW w:w="0" w:type="auto"/>
            <w:vMerge w:val="continue"/>
            <w:noWrap w:val="0"/>
            <w:vAlign w:val="center"/>
          </w:tcPr>
          <w:p w14:paraId="22754D35">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0" w:type="auto"/>
            <w:vMerge w:val="continue"/>
            <w:shd w:val="clear" w:color="auto" w:fill="auto"/>
            <w:noWrap w:val="0"/>
            <w:vAlign w:val="center"/>
          </w:tcPr>
          <w:p w14:paraId="7DD4B195">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0" w:type="auto"/>
            <w:shd w:val="clear" w:color="auto" w:fill="auto"/>
            <w:noWrap w:val="0"/>
            <w:vAlign w:val="center"/>
          </w:tcPr>
          <w:p w14:paraId="21D8902E">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41.2</w:t>
            </w:r>
          </w:p>
        </w:tc>
        <w:tc>
          <w:tcPr>
            <w:tcW w:w="0" w:type="auto"/>
            <w:shd w:val="clear" w:color="auto" w:fill="auto"/>
            <w:noWrap w:val="0"/>
            <w:vAlign w:val="center"/>
          </w:tcPr>
          <w:p w14:paraId="20343761">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40.9</w:t>
            </w:r>
          </w:p>
        </w:tc>
        <w:tc>
          <w:tcPr>
            <w:tcW w:w="0" w:type="auto"/>
            <w:shd w:val="clear" w:color="auto" w:fill="auto"/>
            <w:noWrap w:val="0"/>
            <w:vAlign w:val="center"/>
          </w:tcPr>
          <w:p w14:paraId="5AB2274A">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42.2</w:t>
            </w:r>
          </w:p>
        </w:tc>
        <w:tc>
          <w:tcPr>
            <w:tcW w:w="0" w:type="auto"/>
            <w:shd w:val="clear" w:color="auto" w:fill="auto"/>
            <w:noWrap w:val="0"/>
            <w:vAlign w:val="center"/>
          </w:tcPr>
          <w:p w14:paraId="3848C673">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42.1</w:t>
            </w:r>
          </w:p>
        </w:tc>
        <w:tc>
          <w:tcPr>
            <w:tcW w:w="0" w:type="auto"/>
            <w:vMerge w:val="continue"/>
            <w:noWrap w:val="0"/>
            <w:vAlign w:val="center"/>
          </w:tcPr>
          <w:p w14:paraId="04365B0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kern w:val="2"/>
                <w:sz w:val="21"/>
                <w:szCs w:val="21"/>
                <w:highlight w:val="none"/>
                <w:lang w:val="en-US" w:eastAsia="zh-CN" w:bidi="ar-SA"/>
              </w:rPr>
            </w:pPr>
          </w:p>
        </w:tc>
        <w:tc>
          <w:tcPr>
            <w:tcW w:w="0" w:type="auto"/>
            <w:vMerge w:val="continue"/>
            <w:shd w:val="clear" w:color="auto" w:fill="auto"/>
            <w:noWrap w:val="0"/>
            <w:vAlign w:val="center"/>
          </w:tcPr>
          <w:p w14:paraId="424DB5F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kern w:val="2"/>
                <w:sz w:val="21"/>
                <w:szCs w:val="21"/>
                <w:highlight w:val="none"/>
                <w:lang w:val="en-US" w:eastAsia="zh-CN" w:bidi="ar-SA"/>
              </w:rPr>
            </w:pPr>
          </w:p>
        </w:tc>
        <w:tc>
          <w:tcPr>
            <w:tcW w:w="0" w:type="auto"/>
            <w:shd w:val="clear" w:color="auto" w:fill="auto"/>
            <w:noWrap w:val="0"/>
            <w:vAlign w:val="center"/>
          </w:tcPr>
          <w:p w14:paraId="5B8A1FBA">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7.9</w:t>
            </w:r>
          </w:p>
        </w:tc>
        <w:tc>
          <w:tcPr>
            <w:tcW w:w="0" w:type="auto"/>
            <w:shd w:val="clear" w:color="auto" w:fill="auto"/>
            <w:noWrap w:val="0"/>
            <w:vAlign w:val="center"/>
          </w:tcPr>
          <w:p w14:paraId="1F3C22A1">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7.5</w:t>
            </w:r>
          </w:p>
        </w:tc>
        <w:tc>
          <w:tcPr>
            <w:tcW w:w="0" w:type="auto"/>
            <w:shd w:val="clear" w:color="auto" w:fill="auto"/>
            <w:noWrap w:val="0"/>
            <w:vAlign w:val="center"/>
          </w:tcPr>
          <w:p w14:paraId="4FB42ED4">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8.1</w:t>
            </w:r>
          </w:p>
        </w:tc>
        <w:tc>
          <w:tcPr>
            <w:tcW w:w="0" w:type="auto"/>
            <w:shd w:val="clear" w:color="auto" w:fill="auto"/>
            <w:noWrap w:val="0"/>
            <w:vAlign w:val="center"/>
          </w:tcPr>
          <w:p w14:paraId="6FAF09D0">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7.6</w:t>
            </w:r>
          </w:p>
        </w:tc>
      </w:tr>
      <w:tr w14:paraId="3CF637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0" w:type="auto"/>
            <w:vMerge w:val="continue"/>
            <w:noWrap w:val="0"/>
            <w:vAlign w:val="center"/>
          </w:tcPr>
          <w:p w14:paraId="75CCCBB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auto"/>
                <w:sz w:val="21"/>
                <w:szCs w:val="21"/>
              </w:rPr>
            </w:pPr>
          </w:p>
        </w:tc>
        <w:tc>
          <w:tcPr>
            <w:tcW w:w="0" w:type="auto"/>
            <w:shd w:val="clear" w:color="auto" w:fill="auto"/>
            <w:noWrap w:val="0"/>
            <w:vAlign w:val="center"/>
          </w:tcPr>
          <w:p w14:paraId="7A037605">
            <w:pPr>
              <w:jc w:val="center"/>
              <w:rPr>
                <w:rFonts w:hint="eastAsia" w:ascii="宋体" w:hAnsi="宋体" w:eastAsia="宋体" w:cs="宋体"/>
                <w:color w:val="0000FF"/>
                <w:kern w:val="0"/>
                <w:sz w:val="21"/>
                <w:szCs w:val="21"/>
                <w:lang w:val="en-US" w:eastAsia="zh-CN" w:bidi="ar-SA"/>
              </w:rPr>
            </w:pPr>
            <w:r>
              <w:rPr>
                <w:rFonts w:hint="eastAsia" w:ascii="宋体" w:hAnsi="宋体" w:eastAsia="宋体" w:cs="宋体"/>
                <w:color w:val="auto"/>
                <w:kern w:val="0"/>
                <w:sz w:val="21"/>
                <w:szCs w:val="21"/>
                <w:lang w:val="en-US" w:eastAsia="zh-CN"/>
              </w:rPr>
              <w:t>总磷</w:t>
            </w:r>
          </w:p>
        </w:tc>
        <w:tc>
          <w:tcPr>
            <w:tcW w:w="0" w:type="auto"/>
            <w:vMerge w:val="continue"/>
            <w:noWrap w:val="0"/>
            <w:vAlign w:val="center"/>
          </w:tcPr>
          <w:p w14:paraId="5A6072A5">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0" w:type="auto"/>
            <w:vMerge w:val="continue"/>
            <w:shd w:val="clear" w:color="auto" w:fill="auto"/>
            <w:noWrap w:val="0"/>
            <w:vAlign w:val="center"/>
          </w:tcPr>
          <w:p w14:paraId="520326F2">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0" w:type="auto"/>
            <w:shd w:val="clear" w:color="auto" w:fill="auto"/>
            <w:noWrap w:val="0"/>
            <w:vAlign w:val="center"/>
          </w:tcPr>
          <w:p w14:paraId="66748CA9">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0.08</w:t>
            </w:r>
          </w:p>
        </w:tc>
        <w:tc>
          <w:tcPr>
            <w:tcW w:w="0" w:type="auto"/>
            <w:shd w:val="clear" w:color="auto" w:fill="auto"/>
            <w:noWrap w:val="0"/>
            <w:vAlign w:val="center"/>
          </w:tcPr>
          <w:p w14:paraId="42250D27">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0.06</w:t>
            </w:r>
          </w:p>
        </w:tc>
        <w:tc>
          <w:tcPr>
            <w:tcW w:w="0" w:type="auto"/>
            <w:shd w:val="clear" w:color="auto" w:fill="auto"/>
            <w:noWrap w:val="0"/>
            <w:vAlign w:val="center"/>
          </w:tcPr>
          <w:p w14:paraId="57F8E658">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0.07</w:t>
            </w:r>
          </w:p>
        </w:tc>
        <w:tc>
          <w:tcPr>
            <w:tcW w:w="0" w:type="auto"/>
            <w:shd w:val="clear" w:color="auto" w:fill="auto"/>
            <w:noWrap w:val="0"/>
            <w:vAlign w:val="center"/>
          </w:tcPr>
          <w:p w14:paraId="13A9BA1D">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0.08</w:t>
            </w:r>
          </w:p>
        </w:tc>
        <w:tc>
          <w:tcPr>
            <w:tcW w:w="0" w:type="auto"/>
            <w:vMerge w:val="continue"/>
            <w:noWrap w:val="0"/>
            <w:vAlign w:val="center"/>
          </w:tcPr>
          <w:p w14:paraId="7D4DA8C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highlight w:val="none"/>
                <w:lang w:val="en-US" w:eastAsia="zh-CN"/>
              </w:rPr>
            </w:pPr>
          </w:p>
        </w:tc>
        <w:tc>
          <w:tcPr>
            <w:tcW w:w="0" w:type="auto"/>
            <w:vMerge w:val="continue"/>
            <w:shd w:val="clear" w:color="auto" w:fill="auto"/>
            <w:noWrap w:val="0"/>
            <w:vAlign w:val="center"/>
          </w:tcPr>
          <w:p w14:paraId="1F11D71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highlight w:val="none"/>
                <w:lang w:val="en-US" w:eastAsia="zh-CN"/>
              </w:rPr>
            </w:pPr>
          </w:p>
        </w:tc>
        <w:tc>
          <w:tcPr>
            <w:tcW w:w="0" w:type="auto"/>
            <w:shd w:val="clear" w:color="auto" w:fill="auto"/>
            <w:noWrap w:val="0"/>
            <w:vAlign w:val="center"/>
          </w:tcPr>
          <w:p w14:paraId="0F552569">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0.03</w:t>
            </w:r>
          </w:p>
        </w:tc>
        <w:tc>
          <w:tcPr>
            <w:tcW w:w="0" w:type="auto"/>
            <w:shd w:val="clear" w:color="auto" w:fill="auto"/>
            <w:noWrap w:val="0"/>
            <w:vAlign w:val="center"/>
          </w:tcPr>
          <w:p w14:paraId="07CC845A">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0.02</w:t>
            </w:r>
          </w:p>
        </w:tc>
        <w:tc>
          <w:tcPr>
            <w:tcW w:w="0" w:type="auto"/>
            <w:shd w:val="clear" w:color="auto" w:fill="auto"/>
            <w:noWrap w:val="0"/>
            <w:vAlign w:val="center"/>
          </w:tcPr>
          <w:p w14:paraId="68EED888">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0.04</w:t>
            </w:r>
          </w:p>
        </w:tc>
        <w:tc>
          <w:tcPr>
            <w:tcW w:w="0" w:type="auto"/>
            <w:shd w:val="clear" w:color="auto" w:fill="auto"/>
            <w:noWrap w:val="0"/>
            <w:vAlign w:val="center"/>
          </w:tcPr>
          <w:p w14:paraId="4AFB5EEB">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0.03</w:t>
            </w:r>
          </w:p>
        </w:tc>
      </w:tr>
      <w:tr w14:paraId="5990B7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0" w:type="auto"/>
            <w:vMerge w:val="continue"/>
            <w:noWrap w:val="0"/>
            <w:vAlign w:val="center"/>
          </w:tcPr>
          <w:p w14:paraId="306F31E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auto"/>
                <w:sz w:val="21"/>
                <w:szCs w:val="21"/>
              </w:rPr>
            </w:pPr>
          </w:p>
        </w:tc>
        <w:tc>
          <w:tcPr>
            <w:tcW w:w="0" w:type="auto"/>
            <w:shd w:val="clear" w:color="auto" w:fill="auto"/>
            <w:noWrap w:val="0"/>
            <w:vAlign w:val="center"/>
          </w:tcPr>
          <w:p w14:paraId="224A1E4A">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石油类</w:t>
            </w:r>
          </w:p>
        </w:tc>
        <w:tc>
          <w:tcPr>
            <w:tcW w:w="0" w:type="auto"/>
            <w:vMerge w:val="continue"/>
            <w:noWrap w:val="0"/>
            <w:vAlign w:val="center"/>
          </w:tcPr>
          <w:p w14:paraId="1A61F05A">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0" w:type="auto"/>
            <w:vMerge w:val="continue"/>
            <w:shd w:val="clear" w:color="auto" w:fill="auto"/>
            <w:noWrap w:val="0"/>
            <w:vAlign w:val="center"/>
          </w:tcPr>
          <w:p w14:paraId="34B584F8">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0" w:type="auto"/>
            <w:shd w:val="clear" w:color="auto" w:fill="auto"/>
            <w:noWrap w:val="0"/>
            <w:vAlign w:val="center"/>
          </w:tcPr>
          <w:p w14:paraId="7F2E954F">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3.43</w:t>
            </w:r>
          </w:p>
        </w:tc>
        <w:tc>
          <w:tcPr>
            <w:tcW w:w="0" w:type="auto"/>
            <w:shd w:val="clear" w:color="auto" w:fill="auto"/>
            <w:noWrap w:val="0"/>
            <w:vAlign w:val="center"/>
          </w:tcPr>
          <w:p w14:paraId="3E0D6EA0">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3.46</w:t>
            </w:r>
          </w:p>
        </w:tc>
        <w:tc>
          <w:tcPr>
            <w:tcW w:w="0" w:type="auto"/>
            <w:shd w:val="clear" w:color="auto" w:fill="auto"/>
            <w:noWrap w:val="0"/>
            <w:vAlign w:val="center"/>
          </w:tcPr>
          <w:p w14:paraId="133BAA5D">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3.43</w:t>
            </w:r>
          </w:p>
        </w:tc>
        <w:tc>
          <w:tcPr>
            <w:tcW w:w="0" w:type="auto"/>
            <w:shd w:val="clear" w:color="auto" w:fill="auto"/>
            <w:noWrap w:val="0"/>
            <w:vAlign w:val="center"/>
          </w:tcPr>
          <w:p w14:paraId="18095FC6">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3.38</w:t>
            </w:r>
          </w:p>
        </w:tc>
        <w:tc>
          <w:tcPr>
            <w:tcW w:w="0" w:type="auto"/>
            <w:vMerge w:val="continue"/>
            <w:noWrap w:val="0"/>
            <w:vAlign w:val="center"/>
          </w:tcPr>
          <w:p w14:paraId="35A8373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highlight w:val="none"/>
                <w:lang w:val="en-US" w:eastAsia="zh-CN"/>
              </w:rPr>
            </w:pPr>
          </w:p>
        </w:tc>
        <w:tc>
          <w:tcPr>
            <w:tcW w:w="0" w:type="auto"/>
            <w:vMerge w:val="continue"/>
            <w:shd w:val="clear" w:color="auto" w:fill="auto"/>
            <w:noWrap w:val="0"/>
            <w:vAlign w:val="center"/>
          </w:tcPr>
          <w:p w14:paraId="5B37B78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highlight w:val="none"/>
                <w:lang w:val="en-US" w:eastAsia="zh-CN"/>
              </w:rPr>
            </w:pPr>
          </w:p>
        </w:tc>
        <w:tc>
          <w:tcPr>
            <w:tcW w:w="0" w:type="auto"/>
            <w:shd w:val="clear" w:color="auto" w:fill="auto"/>
            <w:noWrap w:val="0"/>
            <w:vAlign w:val="center"/>
          </w:tcPr>
          <w:p w14:paraId="44DFD5BC">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0.06</w:t>
            </w:r>
          </w:p>
        </w:tc>
        <w:tc>
          <w:tcPr>
            <w:tcW w:w="0" w:type="auto"/>
            <w:shd w:val="clear" w:color="auto" w:fill="auto"/>
            <w:noWrap w:val="0"/>
            <w:vAlign w:val="center"/>
          </w:tcPr>
          <w:p w14:paraId="61CE52F8">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0.06L</w:t>
            </w:r>
          </w:p>
        </w:tc>
        <w:tc>
          <w:tcPr>
            <w:tcW w:w="0" w:type="auto"/>
            <w:shd w:val="clear" w:color="auto" w:fill="auto"/>
            <w:noWrap w:val="0"/>
            <w:vAlign w:val="center"/>
          </w:tcPr>
          <w:p w14:paraId="5E5B726D">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0.06L</w:t>
            </w:r>
          </w:p>
        </w:tc>
        <w:tc>
          <w:tcPr>
            <w:tcW w:w="0" w:type="auto"/>
            <w:shd w:val="clear" w:color="auto" w:fill="auto"/>
            <w:noWrap w:val="0"/>
            <w:vAlign w:val="center"/>
          </w:tcPr>
          <w:p w14:paraId="36704B85">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0.06L</w:t>
            </w:r>
          </w:p>
        </w:tc>
      </w:tr>
      <w:tr w14:paraId="7FFA42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0" w:type="auto"/>
            <w:vMerge w:val="continue"/>
            <w:noWrap w:val="0"/>
            <w:vAlign w:val="center"/>
          </w:tcPr>
          <w:p w14:paraId="55F4A99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auto"/>
                <w:sz w:val="21"/>
                <w:szCs w:val="21"/>
              </w:rPr>
            </w:pPr>
          </w:p>
        </w:tc>
        <w:tc>
          <w:tcPr>
            <w:tcW w:w="0" w:type="auto"/>
            <w:shd w:val="clear" w:color="auto" w:fill="auto"/>
            <w:noWrap w:val="0"/>
            <w:vAlign w:val="center"/>
          </w:tcPr>
          <w:p w14:paraId="1B788DFA">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动植物油类</w:t>
            </w:r>
          </w:p>
        </w:tc>
        <w:tc>
          <w:tcPr>
            <w:tcW w:w="0" w:type="auto"/>
            <w:vMerge w:val="continue"/>
            <w:noWrap w:val="0"/>
            <w:vAlign w:val="center"/>
          </w:tcPr>
          <w:p w14:paraId="4F15F838">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0" w:type="auto"/>
            <w:vMerge w:val="continue"/>
            <w:shd w:val="clear" w:color="auto" w:fill="auto"/>
            <w:noWrap w:val="0"/>
            <w:vAlign w:val="center"/>
          </w:tcPr>
          <w:p w14:paraId="38D7BB0E">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0" w:type="auto"/>
            <w:shd w:val="clear" w:color="auto" w:fill="auto"/>
            <w:noWrap w:val="0"/>
            <w:vAlign w:val="center"/>
          </w:tcPr>
          <w:p w14:paraId="7195DB8A">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0.14</w:t>
            </w:r>
          </w:p>
        </w:tc>
        <w:tc>
          <w:tcPr>
            <w:tcW w:w="0" w:type="auto"/>
            <w:shd w:val="clear" w:color="auto" w:fill="auto"/>
            <w:noWrap w:val="0"/>
            <w:vAlign w:val="center"/>
          </w:tcPr>
          <w:p w14:paraId="3F4C7B7A">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0.13</w:t>
            </w:r>
          </w:p>
        </w:tc>
        <w:tc>
          <w:tcPr>
            <w:tcW w:w="0" w:type="auto"/>
            <w:shd w:val="clear" w:color="auto" w:fill="auto"/>
            <w:noWrap w:val="0"/>
            <w:vAlign w:val="center"/>
          </w:tcPr>
          <w:p w14:paraId="24F9AC78">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0.11</w:t>
            </w:r>
          </w:p>
        </w:tc>
        <w:tc>
          <w:tcPr>
            <w:tcW w:w="0" w:type="auto"/>
            <w:shd w:val="clear" w:color="auto" w:fill="auto"/>
            <w:noWrap w:val="0"/>
            <w:vAlign w:val="center"/>
          </w:tcPr>
          <w:p w14:paraId="1425701A">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0.12</w:t>
            </w:r>
          </w:p>
        </w:tc>
        <w:tc>
          <w:tcPr>
            <w:tcW w:w="0" w:type="auto"/>
            <w:vMerge w:val="continue"/>
            <w:noWrap w:val="0"/>
            <w:vAlign w:val="center"/>
          </w:tcPr>
          <w:p w14:paraId="5AB2808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highlight w:val="none"/>
                <w:lang w:val="en-US" w:eastAsia="zh-CN"/>
              </w:rPr>
            </w:pPr>
          </w:p>
        </w:tc>
        <w:tc>
          <w:tcPr>
            <w:tcW w:w="0" w:type="auto"/>
            <w:vMerge w:val="continue"/>
            <w:shd w:val="clear" w:color="auto" w:fill="auto"/>
            <w:noWrap w:val="0"/>
            <w:vAlign w:val="center"/>
          </w:tcPr>
          <w:p w14:paraId="0B07130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highlight w:val="none"/>
                <w:lang w:val="en-US" w:eastAsia="zh-CN"/>
              </w:rPr>
            </w:pPr>
          </w:p>
        </w:tc>
        <w:tc>
          <w:tcPr>
            <w:tcW w:w="0" w:type="auto"/>
            <w:shd w:val="clear" w:color="auto" w:fill="auto"/>
            <w:noWrap w:val="0"/>
            <w:vAlign w:val="center"/>
          </w:tcPr>
          <w:p w14:paraId="16FB825C">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1.67</w:t>
            </w:r>
          </w:p>
        </w:tc>
        <w:tc>
          <w:tcPr>
            <w:tcW w:w="0" w:type="auto"/>
            <w:shd w:val="clear" w:color="auto" w:fill="auto"/>
            <w:noWrap w:val="0"/>
            <w:vAlign w:val="center"/>
          </w:tcPr>
          <w:p w14:paraId="490D3959">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1.52</w:t>
            </w:r>
          </w:p>
        </w:tc>
        <w:tc>
          <w:tcPr>
            <w:tcW w:w="0" w:type="auto"/>
            <w:shd w:val="clear" w:color="auto" w:fill="auto"/>
            <w:noWrap w:val="0"/>
            <w:vAlign w:val="center"/>
          </w:tcPr>
          <w:p w14:paraId="748C7852">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1.44</w:t>
            </w:r>
          </w:p>
        </w:tc>
        <w:tc>
          <w:tcPr>
            <w:tcW w:w="0" w:type="auto"/>
            <w:shd w:val="clear" w:color="auto" w:fill="auto"/>
            <w:noWrap w:val="0"/>
            <w:vAlign w:val="center"/>
          </w:tcPr>
          <w:p w14:paraId="36A4AE9C">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1.64</w:t>
            </w:r>
          </w:p>
        </w:tc>
      </w:tr>
      <w:tr w14:paraId="77C8FD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0" w:type="auto"/>
            <w:vMerge w:val="continue"/>
            <w:noWrap w:val="0"/>
            <w:vAlign w:val="center"/>
          </w:tcPr>
          <w:p w14:paraId="4F78278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auto"/>
                <w:sz w:val="21"/>
                <w:szCs w:val="21"/>
              </w:rPr>
            </w:pPr>
          </w:p>
        </w:tc>
        <w:tc>
          <w:tcPr>
            <w:tcW w:w="0" w:type="auto"/>
            <w:shd w:val="clear" w:color="auto" w:fill="auto"/>
            <w:noWrap w:val="0"/>
            <w:vAlign w:val="center"/>
          </w:tcPr>
          <w:p w14:paraId="7F02BDC1">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总氮</w:t>
            </w:r>
          </w:p>
        </w:tc>
        <w:tc>
          <w:tcPr>
            <w:tcW w:w="0" w:type="auto"/>
            <w:vMerge w:val="continue"/>
            <w:noWrap w:val="0"/>
            <w:vAlign w:val="center"/>
          </w:tcPr>
          <w:p w14:paraId="16F62893">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0" w:type="auto"/>
            <w:vMerge w:val="continue"/>
            <w:shd w:val="clear" w:color="auto" w:fill="auto"/>
            <w:noWrap w:val="0"/>
            <w:vAlign w:val="center"/>
          </w:tcPr>
          <w:p w14:paraId="723642E6">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0" w:type="auto"/>
            <w:shd w:val="clear" w:color="auto" w:fill="auto"/>
            <w:noWrap w:val="0"/>
            <w:vAlign w:val="center"/>
          </w:tcPr>
          <w:p w14:paraId="7731C477">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29.8</w:t>
            </w:r>
          </w:p>
        </w:tc>
        <w:tc>
          <w:tcPr>
            <w:tcW w:w="0" w:type="auto"/>
            <w:shd w:val="clear" w:color="auto" w:fill="auto"/>
            <w:noWrap w:val="0"/>
            <w:vAlign w:val="center"/>
          </w:tcPr>
          <w:p w14:paraId="607BA175">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29.0</w:t>
            </w:r>
          </w:p>
        </w:tc>
        <w:tc>
          <w:tcPr>
            <w:tcW w:w="0" w:type="auto"/>
            <w:shd w:val="clear" w:color="auto" w:fill="auto"/>
            <w:noWrap w:val="0"/>
            <w:vAlign w:val="center"/>
          </w:tcPr>
          <w:p w14:paraId="17E63F27">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29.5</w:t>
            </w:r>
          </w:p>
        </w:tc>
        <w:tc>
          <w:tcPr>
            <w:tcW w:w="0" w:type="auto"/>
            <w:shd w:val="clear" w:color="auto" w:fill="auto"/>
            <w:noWrap w:val="0"/>
            <w:vAlign w:val="center"/>
          </w:tcPr>
          <w:p w14:paraId="7C89104A">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29.1</w:t>
            </w:r>
          </w:p>
        </w:tc>
        <w:tc>
          <w:tcPr>
            <w:tcW w:w="0" w:type="auto"/>
            <w:vMerge w:val="continue"/>
            <w:noWrap w:val="0"/>
            <w:vAlign w:val="center"/>
          </w:tcPr>
          <w:p w14:paraId="3E5A2B3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highlight w:val="none"/>
                <w:lang w:val="en-US" w:eastAsia="zh-CN"/>
              </w:rPr>
            </w:pPr>
          </w:p>
        </w:tc>
        <w:tc>
          <w:tcPr>
            <w:tcW w:w="0" w:type="auto"/>
            <w:vMerge w:val="continue"/>
            <w:shd w:val="clear" w:color="auto" w:fill="auto"/>
            <w:noWrap w:val="0"/>
            <w:vAlign w:val="center"/>
          </w:tcPr>
          <w:p w14:paraId="6EB4976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highlight w:val="none"/>
                <w:lang w:val="en-US" w:eastAsia="zh-CN"/>
              </w:rPr>
            </w:pPr>
          </w:p>
        </w:tc>
        <w:tc>
          <w:tcPr>
            <w:tcW w:w="0" w:type="auto"/>
            <w:shd w:val="clear" w:color="auto" w:fill="auto"/>
            <w:noWrap w:val="0"/>
            <w:vAlign w:val="center"/>
          </w:tcPr>
          <w:p w14:paraId="73B3D998">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0.07</w:t>
            </w:r>
          </w:p>
        </w:tc>
        <w:tc>
          <w:tcPr>
            <w:tcW w:w="0" w:type="auto"/>
            <w:shd w:val="clear" w:color="auto" w:fill="auto"/>
            <w:noWrap w:val="0"/>
            <w:vAlign w:val="center"/>
          </w:tcPr>
          <w:p w14:paraId="66FC2FB1">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0.06</w:t>
            </w:r>
          </w:p>
        </w:tc>
        <w:tc>
          <w:tcPr>
            <w:tcW w:w="0" w:type="auto"/>
            <w:shd w:val="clear" w:color="auto" w:fill="auto"/>
            <w:noWrap w:val="0"/>
            <w:vAlign w:val="center"/>
          </w:tcPr>
          <w:p w14:paraId="57E15855">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0.06L</w:t>
            </w:r>
          </w:p>
        </w:tc>
        <w:tc>
          <w:tcPr>
            <w:tcW w:w="0" w:type="auto"/>
            <w:shd w:val="clear" w:color="auto" w:fill="auto"/>
            <w:noWrap w:val="0"/>
            <w:vAlign w:val="center"/>
          </w:tcPr>
          <w:p w14:paraId="35D57314">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0.06L</w:t>
            </w:r>
          </w:p>
        </w:tc>
      </w:tr>
      <w:tr w14:paraId="366C8A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0" w:type="auto"/>
            <w:vMerge w:val="continue"/>
            <w:noWrap w:val="0"/>
            <w:vAlign w:val="center"/>
          </w:tcPr>
          <w:p w14:paraId="6016986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auto"/>
                <w:sz w:val="21"/>
                <w:szCs w:val="21"/>
              </w:rPr>
            </w:pPr>
          </w:p>
        </w:tc>
        <w:tc>
          <w:tcPr>
            <w:tcW w:w="0" w:type="auto"/>
            <w:shd w:val="clear" w:color="auto" w:fill="auto"/>
            <w:noWrap w:val="0"/>
            <w:vAlign w:val="center"/>
          </w:tcPr>
          <w:p w14:paraId="7324798B">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粪大肠菌群（MPN/L）</w:t>
            </w:r>
          </w:p>
        </w:tc>
        <w:tc>
          <w:tcPr>
            <w:tcW w:w="0" w:type="auto"/>
            <w:vMerge w:val="continue"/>
            <w:noWrap w:val="0"/>
            <w:vAlign w:val="center"/>
          </w:tcPr>
          <w:p w14:paraId="57C3666D">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0" w:type="auto"/>
            <w:vMerge w:val="continue"/>
            <w:shd w:val="clear" w:color="auto" w:fill="auto"/>
            <w:noWrap w:val="0"/>
            <w:vAlign w:val="center"/>
          </w:tcPr>
          <w:p w14:paraId="004CDC20">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0" w:type="auto"/>
            <w:shd w:val="clear" w:color="auto" w:fill="auto"/>
            <w:noWrap w:val="0"/>
            <w:vAlign w:val="center"/>
          </w:tcPr>
          <w:p w14:paraId="1428BC74">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4.2×10</w:t>
            </w:r>
            <w:r>
              <w:rPr>
                <w:rFonts w:hint="eastAsia" w:ascii="宋体" w:hAnsi="宋体" w:eastAsia="宋体" w:cs="宋体"/>
                <w:color w:val="000000"/>
                <w:sz w:val="21"/>
                <w:szCs w:val="21"/>
                <w:vertAlign w:val="superscript"/>
                <w:lang w:val="en-US" w:eastAsia="zh-CN"/>
              </w:rPr>
              <w:t>2</w:t>
            </w:r>
          </w:p>
        </w:tc>
        <w:tc>
          <w:tcPr>
            <w:tcW w:w="0" w:type="auto"/>
            <w:shd w:val="clear" w:color="auto" w:fill="auto"/>
            <w:noWrap w:val="0"/>
            <w:vAlign w:val="center"/>
          </w:tcPr>
          <w:p w14:paraId="4C209EE5">
            <w:pPr>
              <w:keepNext w:val="0"/>
              <w:keepLines w:val="0"/>
              <w:widowControl/>
              <w:suppressLineNumbers w:val="0"/>
              <w:jc w:val="center"/>
              <w:textAlignment w:val="bottom"/>
              <w:rPr>
                <w:rFonts w:hint="eastAsia" w:ascii="宋体" w:hAnsi="宋体" w:eastAsia="宋体" w:cs="宋体"/>
                <w:color w:val="000000"/>
                <w:kern w:val="2"/>
                <w:sz w:val="21"/>
                <w:szCs w:val="21"/>
                <w:vertAlign w:val="superscript"/>
                <w:lang w:val="en-US" w:eastAsia="zh-CN" w:bidi="ar-SA"/>
              </w:rPr>
            </w:pPr>
            <w:r>
              <w:rPr>
                <w:rFonts w:hint="eastAsia" w:ascii="宋体" w:hAnsi="宋体" w:eastAsia="宋体" w:cs="宋体"/>
                <w:color w:val="000000"/>
                <w:sz w:val="21"/>
                <w:szCs w:val="21"/>
                <w:lang w:val="en-US" w:eastAsia="zh-CN"/>
              </w:rPr>
              <w:t>4.4×10</w:t>
            </w:r>
            <w:r>
              <w:rPr>
                <w:rFonts w:hint="eastAsia" w:ascii="宋体" w:hAnsi="宋体" w:eastAsia="宋体" w:cs="宋体"/>
                <w:color w:val="000000"/>
                <w:sz w:val="21"/>
                <w:szCs w:val="21"/>
                <w:vertAlign w:val="superscript"/>
                <w:lang w:val="en-US" w:eastAsia="zh-CN"/>
              </w:rPr>
              <w:t>2</w:t>
            </w:r>
          </w:p>
        </w:tc>
        <w:tc>
          <w:tcPr>
            <w:tcW w:w="0" w:type="auto"/>
            <w:shd w:val="clear" w:color="auto" w:fill="auto"/>
            <w:noWrap w:val="0"/>
            <w:vAlign w:val="center"/>
          </w:tcPr>
          <w:p w14:paraId="43FE1781">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6.4×10</w:t>
            </w:r>
            <w:r>
              <w:rPr>
                <w:rFonts w:hint="eastAsia" w:ascii="宋体" w:hAnsi="宋体" w:eastAsia="宋体" w:cs="宋体"/>
                <w:color w:val="000000"/>
                <w:sz w:val="21"/>
                <w:szCs w:val="21"/>
                <w:vertAlign w:val="superscript"/>
                <w:lang w:val="en-US" w:eastAsia="zh-CN"/>
              </w:rPr>
              <w:t>2</w:t>
            </w:r>
          </w:p>
        </w:tc>
        <w:tc>
          <w:tcPr>
            <w:tcW w:w="0" w:type="auto"/>
            <w:shd w:val="clear" w:color="auto" w:fill="auto"/>
            <w:noWrap w:val="0"/>
            <w:vAlign w:val="center"/>
          </w:tcPr>
          <w:p w14:paraId="3A399037">
            <w:pPr>
              <w:keepNext w:val="0"/>
              <w:keepLines w:val="0"/>
              <w:widowControl/>
              <w:suppressLineNumbers w:val="0"/>
              <w:jc w:val="center"/>
              <w:textAlignment w:val="bottom"/>
              <w:rPr>
                <w:rFonts w:hint="eastAsia" w:ascii="宋体" w:hAnsi="宋体" w:eastAsia="宋体" w:cs="宋体"/>
                <w:color w:val="000000"/>
                <w:kern w:val="2"/>
                <w:sz w:val="21"/>
                <w:szCs w:val="21"/>
                <w:vertAlign w:val="superscript"/>
                <w:lang w:val="en-US" w:eastAsia="zh-CN" w:bidi="ar-SA"/>
              </w:rPr>
            </w:pPr>
            <w:r>
              <w:rPr>
                <w:rFonts w:hint="eastAsia" w:ascii="宋体" w:hAnsi="宋体" w:eastAsia="宋体" w:cs="宋体"/>
                <w:color w:val="000000"/>
                <w:sz w:val="21"/>
                <w:szCs w:val="21"/>
                <w:lang w:val="en-US" w:eastAsia="zh-CN"/>
              </w:rPr>
              <w:t>7.2×10</w:t>
            </w:r>
            <w:r>
              <w:rPr>
                <w:rFonts w:hint="eastAsia" w:ascii="宋体" w:hAnsi="宋体" w:eastAsia="宋体" w:cs="宋体"/>
                <w:color w:val="000000"/>
                <w:sz w:val="21"/>
                <w:szCs w:val="21"/>
                <w:vertAlign w:val="superscript"/>
                <w:lang w:val="en-US" w:eastAsia="zh-CN"/>
              </w:rPr>
              <w:t>2</w:t>
            </w:r>
          </w:p>
        </w:tc>
        <w:tc>
          <w:tcPr>
            <w:tcW w:w="0" w:type="auto"/>
            <w:vMerge w:val="continue"/>
            <w:noWrap w:val="0"/>
            <w:vAlign w:val="center"/>
          </w:tcPr>
          <w:p w14:paraId="3A74F89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highlight w:val="none"/>
                <w:lang w:val="en-US" w:eastAsia="zh-CN"/>
              </w:rPr>
            </w:pPr>
          </w:p>
        </w:tc>
        <w:tc>
          <w:tcPr>
            <w:tcW w:w="0" w:type="auto"/>
            <w:vMerge w:val="continue"/>
            <w:shd w:val="clear" w:color="auto" w:fill="auto"/>
            <w:noWrap w:val="0"/>
            <w:vAlign w:val="center"/>
          </w:tcPr>
          <w:p w14:paraId="2D21550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highlight w:val="none"/>
                <w:lang w:val="en-US" w:eastAsia="zh-CN"/>
              </w:rPr>
            </w:pPr>
          </w:p>
        </w:tc>
        <w:tc>
          <w:tcPr>
            <w:tcW w:w="0" w:type="auto"/>
            <w:shd w:val="clear" w:color="auto" w:fill="auto"/>
            <w:noWrap w:val="0"/>
            <w:vAlign w:val="center"/>
          </w:tcPr>
          <w:p w14:paraId="5D584825">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2.1×10</w:t>
            </w:r>
            <w:r>
              <w:rPr>
                <w:rFonts w:hint="eastAsia" w:ascii="宋体" w:hAnsi="宋体" w:eastAsia="宋体" w:cs="宋体"/>
                <w:color w:val="000000"/>
                <w:sz w:val="21"/>
                <w:szCs w:val="21"/>
                <w:vertAlign w:val="superscript"/>
                <w:lang w:val="en-US" w:eastAsia="zh-CN"/>
              </w:rPr>
              <w:t>2</w:t>
            </w:r>
          </w:p>
        </w:tc>
        <w:tc>
          <w:tcPr>
            <w:tcW w:w="0" w:type="auto"/>
            <w:shd w:val="clear" w:color="auto" w:fill="auto"/>
            <w:noWrap w:val="0"/>
            <w:vAlign w:val="center"/>
          </w:tcPr>
          <w:p w14:paraId="7D702924">
            <w:pPr>
              <w:keepNext w:val="0"/>
              <w:keepLines w:val="0"/>
              <w:widowControl/>
              <w:suppressLineNumbers w:val="0"/>
              <w:jc w:val="center"/>
              <w:textAlignment w:val="bottom"/>
              <w:rPr>
                <w:rFonts w:hint="eastAsia" w:ascii="宋体" w:hAnsi="宋体" w:eastAsia="宋体" w:cs="宋体"/>
                <w:color w:val="000000"/>
                <w:kern w:val="2"/>
                <w:sz w:val="21"/>
                <w:szCs w:val="21"/>
                <w:vertAlign w:val="superscript"/>
                <w:lang w:val="en-US" w:eastAsia="zh-CN" w:bidi="ar-SA"/>
              </w:rPr>
            </w:pPr>
            <w:r>
              <w:rPr>
                <w:rFonts w:hint="eastAsia" w:ascii="宋体" w:hAnsi="宋体" w:eastAsia="宋体" w:cs="宋体"/>
                <w:color w:val="000000"/>
                <w:sz w:val="21"/>
                <w:szCs w:val="21"/>
                <w:lang w:val="en-US" w:eastAsia="zh-CN"/>
              </w:rPr>
              <w:t>2.4×10</w:t>
            </w:r>
            <w:r>
              <w:rPr>
                <w:rFonts w:hint="eastAsia" w:ascii="宋体" w:hAnsi="宋体" w:eastAsia="宋体" w:cs="宋体"/>
                <w:color w:val="000000"/>
                <w:sz w:val="21"/>
                <w:szCs w:val="21"/>
                <w:vertAlign w:val="superscript"/>
                <w:lang w:val="en-US" w:eastAsia="zh-CN"/>
              </w:rPr>
              <w:t>2</w:t>
            </w:r>
          </w:p>
        </w:tc>
        <w:tc>
          <w:tcPr>
            <w:tcW w:w="0" w:type="auto"/>
            <w:shd w:val="clear" w:color="auto" w:fill="auto"/>
            <w:noWrap w:val="0"/>
            <w:vAlign w:val="center"/>
          </w:tcPr>
          <w:p w14:paraId="6778EE78">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2.8×10</w:t>
            </w:r>
            <w:r>
              <w:rPr>
                <w:rFonts w:hint="eastAsia" w:ascii="宋体" w:hAnsi="宋体" w:eastAsia="宋体" w:cs="宋体"/>
                <w:color w:val="000000"/>
                <w:sz w:val="21"/>
                <w:szCs w:val="21"/>
                <w:vertAlign w:val="superscript"/>
                <w:lang w:val="en-US" w:eastAsia="zh-CN"/>
              </w:rPr>
              <w:t>2</w:t>
            </w:r>
          </w:p>
        </w:tc>
        <w:tc>
          <w:tcPr>
            <w:tcW w:w="0" w:type="auto"/>
            <w:shd w:val="clear" w:color="auto" w:fill="auto"/>
            <w:noWrap w:val="0"/>
            <w:vAlign w:val="center"/>
          </w:tcPr>
          <w:p w14:paraId="6658E3E1">
            <w:pPr>
              <w:keepNext w:val="0"/>
              <w:keepLines w:val="0"/>
              <w:widowControl/>
              <w:suppressLineNumbers w:val="0"/>
              <w:jc w:val="center"/>
              <w:textAlignment w:val="bottom"/>
              <w:rPr>
                <w:rFonts w:hint="eastAsia" w:ascii="宋体" w:hAnsi="宋体" w:eastAsia="宋体" w:cs="宋体"/>
                <w:color w:val="000000"/>
                <w:kern w:val="2"/>
                <w:sz w:val="21"/>
                <w:szCs w:val="21"/>
                <w:vertAlign w:val="superscript"/>
                <w:lang w:val="en-US" w:eastAsia="zh-CN" w:bidi="ar-SA"/>
              </w:rPr>
            </w:pPr>
            <w:r>
              <w:rPr>
                <w:rFonts w:hint="eastAsia" w:ascii="宋体" w:hAnsi="宋体" w:eastAsia="宋体" w:cs="宋体"/>
                <w:color w:val="000000"/>
                <w:sz w:val="21"/>
                <w:szCs w:val="21"/>
                <w:lang w:val="en-US" w:eastAsia="zh-CN"/>
              </w:rPr>
              <w:t>3.6×10</w:t>
            </w:r>
            <w:r>
              <w:rPr>
                <w:rFonts w:hint="eastAsia" w:ascii="宋体" w:hAnsi="宋体" w:eastAsia="宋体" w:cs="宋体"/>
                <w:color w:val="000000"/>
                <w:sz w:val="21"/>
                <w:szCs w:val="21"/>
                <w:vertAlign w:val="superscript"/>
                <w:lang w:val="en-US" w:eastAsia="zh-CN"/>
              </w:rPr>
              <w:t>2</w:t>
            </w:r>
          </w:p>
        </w:tc>
      </w:tr>
      <w:tr w14:paraId="50BAA3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0" w:type="auto"/>
            <w:vMerge w:val="continue"/>
            <w:noWrap w:val="0"/>
            <w:vAlign w:val="center"/>
          </w:tcPr>
          <w:p w14:paraId="2E0F21E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auto"/>
                <w:sz w:val="21"/>
                <w:szCs w:val="21"/>
              </w:rPr>
            </w:pPr>
          </w:p>
        </w:tc>
        <w:tc>
          <w:tcPr>
            <w:tcW w:w="0" w:type="auto"/>
            <w:shd w:val="clear" w:color="auto" w:fill="auto"/>
            <w:noWrap w:val="0"/>
            <w:vAlign w:val="center"/>
          </w:tcPr>
          <w:p w14:paraId="5C114C08">
            <w:pPr>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氟化物</w:t>
            </w:r>
          </w:p>
        </w:tc>
        <w:tc>
          <w:tcPr>
            <w:tcW w:w="0" w:type="auto"/>
            <w:vMerge w:val="continue"/>
            <w:noWrap w:val="0"/>
            <w:vAlign w:val="center"/>
          </w:tcPr>
          <w:p w14:paraId="685D672E">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0" w:type="auto"/>
            <w:vMerge w:val="continue"/>
            <w:shd w:val="clear" w:color="auto" w:fill="auto"/>
            <w:noWrap w:val="0"/>
            <w:vAlign w:val="center"/>
          </w:tcPr>
          <w:p w14:paraId="720129C3">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0" w:type="auto"/>
            <w:shd w:val="clear" w:color="auto" w:fill="auto"/>
            <w:noWrap w:val="0"/>
            <w:vAlign w:val="center"/>
          </w:tcPr>
          <w:p w14:paraId="491AF911">
            <w:pPr>
              <w:keepNext w:val="0"/>
              <w:keepLines w:val="0"/>
              <w:widowControl/>
              <w:suppressLineNumbers w:val="0"/>
              <w:jc w:val="center"/>
              <w:textAlignment w:val="bottom"/>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t>
            </w:r>
          </w:p>
        </w:tc>
        <w:tc>
          <w:tcPr>
            <w:tcW w:w="0" w:type="auto"/>
            <w:shd w:val="clear" w:color="auto" w:fill="auto"/>
            <w:noWrap w:val="0"/>
            <w:vAlign w:val="center"/>
          </w:tcPr>
          <w:p w14:paraId="37CC3F5C">
            <w:pPr>
              <w:keepNext w:val="0"/>
              <w:keepLines w:val="0"/>
              <w:widowControl/>
              <w:suppressLineNumbers w:val="0"/>
              <w:jc w:val="center"/>
              <w:textAlignment w:val="bottom"/>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t>
            </w:r>
          </w:p>
        </w:tc>
        <w:tc>
          <w:tcPr>
            <w:tcW w:w="0" w:type="auto"/>
            <w:shd w:val="clear" w:color="auto" w:fill="auto"/>
            <w:noWrap w:val="0"/>
            <w:vAlign w:val="center"/>
          </w:tcPr>
          <w:p w14:paraId="77CED31A">
            <w:pPr>
              <w:keepNext w:val="0"/>
              <w:keepLines w:val="0"/>
              <w:widowControl/>
              <w:suppressLineNumbers w:val="0"/>
              <w:jc w:val="center"/>
              <w:textAlignment w:val="bottom"/>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t>
            </w:r>
          </w:p>
        </w:tc>
        <w:tc>
          <w:tcPr>
            <w:tcW w:w="0" w:type="auto"/>
            <w:shd w:val="clear" w:color="auto" w:fill="auto"/>
            <w:noWrap w:val="0"/>
            <w:vAlign w:val="center"/>
          </w:tcPr>
          <w:p w14:paraId="55398712">
            <w:pPr>
              <w:keepNext w:val="0"/>
              <w:keepLines w:val="0"/>
              <w:widowControl/>
              <w:suppressLineNumbers w:val="0"/>
              <w:jc w:val="center"/>
              <w:textAlignment w:val="bottom"/>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t>
            </w:r>
          </w:p>
        </w:tc>
        <w:tc>
          <w:tcPr>
            <w:tcW w:w="0" w:type="auto"/>
            <w:vMerge w:val="continue"/>
            <w:noWrap w:val="0"/>
            <w:vAlign w:val="center"/>
          </w:tcPr>
          <w:p w14:paraId="32800AB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highlight w:val="none"/>
                <w:lang w:val="en-US" w:eastAsia="zh-CN"/>
              </w:rPr>
            </w:pPr>
          </w:p>
        </w:tc>
        <w:tc>
          <w:tcPr>
            <w:tcW w:w="0" w:type="auto"/>
            <w:vMerge w:val="continue"/>
            <w:shd w:val="clear" w:color="auto" w:fill="auto"/>
            <w:noWrap w:val="0"/>
            <w:vAlign w:val="center"/>
          </w:tcPr>
          <w:p w14:paraId="1039318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highlight w:val="none"/>
                <w:lang w:val="en-US" w:eastAsia="zh-CN"/>
              </w:rPr>
            </w:pPr>
          </w:p>
        </w:tc>
        <w:tc>
          <w:tcPr>
            <w:tcW w:w="0" w:type="auto"/>
            <w:shd w:val="clear" w:color="auto" w:fill="auto"/>
            <w:noWrap w:val="0"/>
            <w:vAlign w:val="center"/>
          </w:tcPr>
          <w:p w14:paraId="57DFEC7E">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1.37</w:t>
            </w:r>
          </w:p>
        </w:tc>
        <w:tc>
          <w:tcPr>
            <w:tcW w:w="0" w:type="auto"/>
            <w:shd w:val="clear" w:color="auto" w:fill="auto"/>
            <w:noWrap w:val="0"/>
            <w:vAlign w:val="center"/>
          </w:tcPr>
          <w:p w14:paraId="333A23C1">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1.35</w:t>
            </w:r>
          </w:p>
        </w:tc>
        <w:tc>
          <w:tcPr>
            <w:tcW w:w="0" w:type="auto"/>
            <w:shd w:val="clear" w:color="auto" w:fill="auto"/>
            <w:noWrap w:val="0"/>
            <w:vAlign w:val="center"/>
          </w:tcPr>
          <w:p w14:paraId="7DC15E9F">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1.33</w:t>
            </w:r>
          </w:p>
        </w:tc>
        <w:tc>
          <w:tcPr>
            <w:tcW w:w="0" w:type="auto"/>
            <w:shd w:val="clear" w:color="auto" w:fill="auto"/>
            <w:noWrap w:val="0"/>
            <w:vAlign w:val="center"/>
          </w:tcPr>
          <w:p w14:paraId="3D2B0114">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1.35</w:t>
            </w:r>
          </w:p>
        </w:tc>
      </w:tr>
      <w:tr w14:paraId="37B1FD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0" w:type="auto"/>
            <w:vMerge w:val="restart"/>
            <w:noWrap w:val="0"/>
            <w:vAlign w:val="center"/>
          </w:tcPr>
          <w:p w14:paraId="6AC6679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采样日期</w:t>
            </w:r>
          </w:p>
        </w:tc>
        <w:tc>
          <w:tcPr>
            <w:tcW w:w="0" w:type="auto"/>
            <w:vMerge w:val="restart"/>
            <w:noWrap w:val="0"/>
            <w:vAlign w:val="center"/>
          </w:tcPr>
          <w:p w14:paraId="74AC235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检测项目</w:t>
            </w:r>
          </w:p>
        </w:tc>
        <w:tc>
          <w:tcPr>
            <w:tcW w:w="0" w:type="auto"/>
            <w:vMerge w:val="restart"/>
            <w:noWrap w:val="0"/>
            <w:vAlign w:val="center"/>
          </w:tcPr>
          <w:p w14:paraId="12D7DD5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采样点</w:t>
            </w:r>
          </w:p>
        </w:tc>
        <w:tc>
          <w:tcPr>
            <w:tcW w:w="0" w:type="auto"/>
            <w:vMerge w:val="restart"/>
            <w:noWrap w:val="0"/>
            <w:vAlign w:val="center"/>
          </w:tcPr>
          <w:p w14:paraId="43BDC08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样品状态</w:t>
            </w:r>
          </w:p>
        </w:tc>
        <w:tc>
          <w:tcPr>
            <w:tcW w:w="0" w:type="auto"/>
            <w:gridSpan w:val="4"/>
            <w:noWrap w:val="0"/>
            <w:vAlign w:val="center"/>
          </w:tcPr>
          <w:p w14:paraId="759076C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检测结果（mg/L，pH无量纲）</w:t>
            </w:r>
          </w:p>
        </w:tc>
        <w:tc>
          <w:tcPr>
            <w:tcW w:w="0" w:type="auto"/>
            <w:vMerge w:val="restart"/>
            <w:noWrap w:val="0"/>
            <w:vAlign w:val="center"/>
          </w:tcPr>
          <w:p w14:paraId="17949C8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采样点</w:t>
            </w:r>
          </w:p>
        </w:tc>
        <w:tc>
          <w:tcPr>
            <w:tcW w:w="0" w:type="auto"/>
            <w:vMerge w:val="restart"/>
            <w:shd w:val="clear" w:color="auto" w:fill="auto"/>
            <w:noWrap w:val="0"/>
            <w:vAlign w:val="center"/>
          </w:tcPr>
          <w:p w14:paraId="2537DFB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样品状态</w:t>
            </w:r>
          </w:p>
        </w:tc>
        <w:tc>
          <w:tcPr>
            <w:tcW w:w="0" w:type="auto"/>
            <w:gridSpan w:val="4"/>
            <w:noWrap w:val="0"/>
            <w:vAlign w:val="center"/>
          </w:tcPr>
          <w:p w14:paraId="2CE3E5F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检测结果（mg/L，pH无量纲）</w:t>
            </w:r>
          </w:p>
        </w:tc>
      </w:tr>
      <w:tr w14:paraId="43D44E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0" w:type="auto"/>
            <w:vMerge w:val="continue"/>
            <w:noWrap w:val="0"/>
            <w:vAlign w:val="center"/>
          </w:tcPr>
          <w:p w14:paraId="581EC72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p>
        </w:tc>
        <w:tc>
          <w:tcPr>
            <w:tcW w:w="0" w:type="auto"/>
            <w:vMerge w:val="continue"/>
            <w:noWrap w:val="0"/>
            <w:vAlign w:val="center"/>
          </w:tcPr>
          <w:p w14:paraId="3F9FDA7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p>
        </w:tc>
        <w:tc>
          <w:tcPr>
            <w:tcW w:w="0" w:type="auto"/>
            <w:vMerge w:val="continue"/>
            <w:noWrap w:val="0"/>
            <w:vAlign w:val="center"/>
          </w:tcPr>
          <w:p w14:paraId="2C972A0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p>
        </w:tc>
        <w:tc>
          <w:tcPr>
            <w:tcW w:w="0" w:type="auto"/>
            <w:vMerge w:val="continue"/>
            <w:shd w:val="clear" w:color="auto" w:fill="auto"/>
            <w:noWrap w:val="0"/>
            <w:vAlign w:val="center"/>
          </w:tcPr>
          <w:p w14:paraId="75EE912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p>
        </w:tc>
        <w:tc>
          <w:tcPr>
            <w:tcW w:w="0" w:type="auto"/>
            <w:shd w:val="clear" w:color="auto" w:fill="auto"/>
            <w:noWrap w:val="0"/>
            <w:vAlign w:val="center"/>
          </w:tcPr>
          <w:p w14:paraId="5E887C7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sz w:val="21"/>
                <w:szCs w:val="21"/>
              </w:rPr>
              <w:t>第一次</w:t>
            </w:r>
          </w:p>
        </w:tc>
        <w:tc>
          <w:tcPr>
            <w:tcW w:w="0" w:type="auto"/>
            <w:shd w:val="clear" w:color="auto" w:fill="auto"/>
            <w:noWrap w:val="0"/>
            <w:vAlign w:val="center"/>
          </w:tcPr>
          <w:p w14:paraId="5587813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sz w:val="21"/>
                <w:szCs w:val="21"/>
              </w:rPr>
              <w:t>第二次</w:t>
            </w:r>
          </w:p>
        </w:tc>
        <w:tc>
          <w:tcPr>
            <w:tcW w:w="0" w:type="auto"/>
            <w:shd w:val="clear" w:color="auto" w:fill="auto"/>
            <w:noWrap w:val="0"/>
            <w:vAlign w:val="center"/>
          </w:tcPr>
          <w:p w14:paraId="78985AC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sz w:val="21"/>
                <w:szCs w:val="21"/>
              </w:rPr>
              <w:t>第三次</w:t>
            </w:r>
          </w:p>
        </w:tc>
        <w:tc>
          <w:tcPr>
            <w:tcW w:w="0" w:type="auto"/>
            <w:shd w:val="clear" w:color="auto" w:fill="auto"/>
            <w:noWrap w:val="0"/>
            <w:vAlign w:val="center"/>
          </w:tcPr>
          <w:p w14:paraId="1C5091F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sz w:val="21"/>
                <w:szCs w:val="21"/>
                <w:lang w:val="en-US" w:eastAsia="zh-CN"/>
              </w:rPr>
              <w:t>第四次</w:t>
            </w:r>
          </w:p>
        </w:tc>
        <w:tc>
          <w:tcPr>
            <w:tcW w:w="0" w:type="auto"/>
            <w:vMerge w:val="continue"/>
            <w:noWrap w:val="0"/>
            <w:vAlign w:val="center"/>
          </w:tcPr>
          <w:p w14:paraId="28ADC08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p>
        </w:tc>
        <w:tc>
          <w:tcPr>
            <w:tcW w:w="0" w:type="auto"/>
            <w:vMerge w:val="continue"/>
            <w:shd w:val="clear" w:color="auto" w:fill="auto"/>
            <w:noWrap w:val="0"/>
            <w:vAlign w:val="center"/>
          </w:tcPr>
          <w:p w14:paraId="12A48AD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p>
        </w:tc>
        <w:tc>
          <w:tcPr>
            <w:tcW w:w="0" w:type="auto"/>
            <w:shd w:val="clear" w:color="auto" w:fill="auto"/>
            <w:noWrap w:val="0"/>
            <w:vAlign w:val="center"/>
          </w:tcPr>
          <w:p w14:paraId="07A600E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sz w:val="21"/>
                <w:szCs w:val="21"/>
              </w:rPr>
              <w:t>第一次</w:t>
            </w:r>
          </w:p>
        </w:tc>
        <w:tc>
          <w:tcPr>
            <w:tcW w:w="0" w:type="auto"/>
            <w:shd w:val="clear" w:color="auto" w:fill="auto"/>
            <w:noWrap w:val="0"/>
            <w:vAlign w:val="center"/>
          </w:tcPr>
          <w:p w14:paraId="52E2AD5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sz w:val="21"/>
                <w:szCs w:val="21"/>
              </w:rPr>
              <w:t>第二次</w:t>
            </w:r>
          </w:p>
        </w:tc>
        <w:tc>
          <w:tcPr>
            <w:tcW w:w="0" w:type="auto"/>
            <w:shd w:val="clear" w:color="auto" w:fill="auto"/>
            <w:noWrap w:val="0"/>
            <w:vAlign w:val="center"/>
          </w:tcPr>
          <w:p w14:paraId="03C1FEE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sz w:val="21"/>
                <w:szCs w:val="21"/>
              </w:rPr>
              <w:t>第三次</w:t>
            </w:r>
          </w:p>
        </w:tc>
        <w:tc>
          <w:tcPr>
            <w:tcW w:w="0" w:type="auto"/>
            <w:shd w:val="clear" w:color="auto" w:fill="auto"/>
            <w:noWrap w:val="0"/>
            <w:vAlign w:val="center"/>
          </w:tcPr>
          <w:p w14:paraId="5929895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sz w:val="21"/>
                <w:szCs w:val="21"/>
                <w:lang w:val="en-US" w:eastAsia="zh-CN"/>
              </w:rPr>
              <w:t>第四次</w:t>
            </w:r>
          </w:p>
        </w:tc>
      </w:tr>
      <w:tr w14:paraId="2F1925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0" w:type="auto"/>
            <w:vMerge w:val="restart"/>
            <w:noWrap w:val="0"/>
            <w:vAlign w:val="center"/>
          </w:tcPr>
          <w:p w14:paraId="3B02E7D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2025-02-14</w:t>
            </w:r>
          </w:p>
        </w:tc>
        <w:tc>
          <w:tcPr>
            <w:tcW w:w="0" w:type="auto"/>
            <w:shd w:val="clear" w:color="auto" w:fill="auto"/>
            <w:noWrap w:val="0"/>
            <w:vAlign w:val="center"/>
          </w:tcPr>
          <w:p w14:paraId="4625030A">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sz w:val="21"/>
                <w:szCs w:val="21"/>
              </w:rPr>
              <w:t>pH</w:t>
            </w:r>
            <w:r>
              <w:rPr>
                <w:rFonts w:hint="eastAsia" w:ascii="宋体" w:hAnsi="宋体" w:eastAsia="宋体" w:cs="宋体"/>
                <w:sz w:val="21"/>
                <w:szCs w:val="21"/>
                <w:lang w:eastAsia="zh-CN"/>
              </w:rPr>
              <w:t>值</w:t>
            </w:r>
          </w:p>
        </w:tc>
        <w:tc>
          <w:tcPr>
            <w:tcW w:w="0" w:type="auto"/>
            <w:vMerge w:val="restart"/>
            <w:noWrap w:val="0"/>
            <w:vAlign w:val="center"/>
          </w:tcPr>
          <w:p w14:paraId="5ADC29B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污水处理站进口</w:t>
            </w:r>
          </w:p>
        </w:tc>
        <w:tc>
          <w:tcPr>
            <w:tcW w:w="0" w:type="auto"/>
            <w:vMerge w:val="restart"/>
            <w:noWrap w:val="0"/>
            <w:vAlign w:val="center"/>
          </w:tcPr>
          <w:p w14:paraId="78564B7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浑浊</w:t>
            </w:r>
          </w:p>
        </w:tc>
        <w:tc>
          <w:tcPr>
            <w:tcW w:w="0" w:type="auto"/>
            <w:noWrap w:val="0"/>
            <w:vAlign w:val="center"/>
          </w:tcPr>
          <w:p w14:paraId="49DC62F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lang w:val="en-US" w:eastAsia="zh-CN"/>
              </w:rPr>
              <w:t>--</w:t>
            </w:r>
          </w:p>
        </w:tc>
        <w:tc>
          <w:tcPr>
            <w:tcW w:w="0" w:type="auto"/>
            <w:noWrap w:val="0"/>
            <w:vAlign w:val="center"/>
          </w:tcPr>
          <w:p w14:paraId="3D34DA2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lang w:val="en-US" w:eastAsia="zh-CN"/>
              </w:rPr>
              <w:t>--</w:t>
            </w:r>
          </w:p>
        </w:tc>
        <w:tc>
          <w:tcPr>
            <w:tcW w:w="0" w:type="auto"/>
            <w:shd w:val="clear" w:color="auto" w:fill="auto"/>
            <w:noWrap w:val="0"/>
            <w:vAlign w:val="center"/>
          </w:tcPr>
          <w:p w14:paraId="7A8EF0A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auto"/>
                <w:kern w:val="0"/>
                <w:sz w:val="21"/>
                <w:szCs w:val="21"/>
                <w:lang w:val="en-US" w:eastAsia="zh-CN" w:bidi="ar-SA"/>
              </w:rPr>
            </w:pPr>
            <w:r>
              <w:rPr>
                <w:rFonts w:hint="eastAsia" w:ascii="Times New Roman" w:hAnsi="Times New Roman" w:eastAsia="宋体" w:cs="Times New Roman"/>
                <w:b w:val="0"/>
                <w:bCs w:val="0"/>
                <w:color w:val="000000"/>
                <w:sz w:val="21"/>
                <w:szCs w:val="21"/>
                <w:lang w:val="en-US" w:eastAsia="zh-CN"/>
              </w:rPr>
              <w:t>清</w:t>
            </w:r>
          </w:p>
        </w:tc>
        <w:tc>
          <w:tcPr>
            <w:tcW w:w="0" w:type="auto"/>
            <w:noWrap w:val="0"/>
            <w:vAlign w:val="center"/>
          </w:tcPr>
          <w:p w14:paraId="5220FD3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color w:val="000000"/>
                <w:sz w:val="21"/>
                <w:szCs w:val="21"/>
                <w:lang w:val="en-US" w:eastAsia="zh-CN"/>
              </w:rPr>
              <w:t>--</w:t>
            </w:r>
          </w:p>
        </w:tc>
        <w:tc>
          <w:tcPr>
            <w:tcW w:w="0" w:type="auto"/>
            <w:vMerge w:val="restart"/>
            <w:noWrap w:val="0"/>
            <w:vAlign w:val="center"/>
          </w:tcPr>
          <w:p w14:paraId="0F61A93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color w:val="auto"/>
                <w:kern w:val="0"/>
                <w:sz w:val="21"/>
                <w:szCs w:val="21"/>
                <w:lang w:val="en-US" w:eastAsia="zh-CN"/>
              </w:rPr>
              <w:t>污水处理站出口</w:t>
            </w:r>
          </w:p>
        </w:tc>
        <w:tc>
          <w:tcPr>
            <w:tcW w:w="0" w:type="auto"/>
            <w:vMerge w:val="restart"/>
            <w:shd w:val="clear" w:color="auto" w:fill="auto"/>
            <w:noWrap w:val="0"/>
            <w:vAlign w:val="center"/>
          </w:tcPr>
          <w:p w14:paraId="2E4C157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auto"/>
                <w:kern w:val="0"/>
                <w:sz w:val="21"/>
                <w:szCs w:val="21"/>
                <w:lang w:val="en-US" w:eastAsia="zh-CN"/>
              </w:rPr>
            </w:pPr>
            <w:r>
              <w:rPr>
                <w:rFonts w:hint="eastAsia" w:ascii="Times New Roman" w:hAnsi="Times New Roman" w:eastAsia="宋体" w:cs="Times New Roman"/>
                <w:b w:val="0"/>
                <w:bCs w:val="0"/>
                <w:color w:val="000000"/>
                <w:sz w:val="21"/>
                <w:szCs w:val="21"/>
                <w:lang w:val="en-US" w:eastAsia="zh-CN"/>
              </w:rPr>
              <w:t>清</w:t>
            </w:r>
          </w:p>
        </w:tc>
        <w:tc>
          <w:tcPr>
            <w:tcW w:w="0" w:type="auto"/>
            <w:shd w:val="clear" w:color="auto" w:fill="auto"/>
            <w:noWrap w:val="0"/>
            <w:vAlign w:val="center"/>
          </w:tcPr>
          <w:p w14:paraId="0A19E6CC">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7.9</w:t>
            </w:r>
          </w:p>
        </w:tc>
        <w:tc>
          <w:tcPr>
            <w:tcW w:w="0" w:type="auto"/>
            <w:shd w:val="clear" w:color="auto" w:fill="auto"/>
            <w:noWrap w:val="0"/>
            <w:vAlign w:val="center"/>
          </w:tcPr>
          <w:p w14:paraId="14B1BF2F">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7.8</w:t>
            </w:r>
          </w:p>
        </w:tc>
        <w:tc>
          <w:tcPr>
            <w:tcW w:w="0" w:type="auto"/>
            <w:shd w:val="clear" w:color="auto" w:fill="auto"/>
            <w:noWrap w:val="0"/>
            <w:vAlign w:val="center"/>
          </w:tcPr>
          <w:p w14:paraId="40DB3DA0">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7.8</w:t>
            </w:r>
          </w:p>
        </w:tc>
        <w:tc>
          <w:tcPr>
            <w:tcW w:w="0" w:type="auto"/>
            <w:shd w:val="clear" w:color="auto" w:fill="auto"/>
            <w:noWrap w:val="0"/>
            <w:vAlign w:val="center"/>
          </w:tcPr>
          <w:p w14:paraId="5E7F85E7">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7.9</w:t>
            </w:r>
          </w:p>
        </w:tc>
      </w:tr>
      <w:tr w14:paraId="419B9B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0" w:type="auto"/>
            <w:vMerge w:val="continue"/>
            <w:noWrap w:val="0"/>
            <w:vAlign w:val="center"/>
          </w:tcPr>
          <w:p w14:paraId="70700D4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auto"/>
                <w:sz w:val="21"/>
                <w:szCs w:val="21"/>
              </w:rPr>
            </w:pPr>
          </w:p>
        </w:tc>
        <w:tc>
          <w:tcPr>
            <w:tcW w:w="0" w:type="auto"/>
            <w:shd w:val="clear" w:color="auto" w:fill="auto"/>
            <w:noWrap w:val="0"/>
            <w:vAlign w:val="center"/>
          </w:tcPr>
          <w:p w14:paraId="50C329C1">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SS</w:t>
            </w:r>
          </w:p>
        </w:tc>
        <w:tc>
          <w:tcPr>
            <w:tcW w:w="0" w:type="auto"/>
            <w:vMerge w:val="continue"/>
            <w:noWrap w:val="0"/>
            <w:vAlign w:val="center"/>
          </w:tcPr>
          <w:p w14:paraId="140ED6A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auto"/>
                <w:sz w:val="21"/>
                <w:szCs w:val="21"/>
              </w:rPr>
            </w:pPr>
          </w:p>
        </w:tc>
        <w:tc>
          <w:tcPr>
            <w:tcW w:w="0" w:type="auto"/>
            <w:vMerge w:val="continue"/>
            <w:shd w:val="clear" w:color="auto" w:fill="auto"/>
            <w:noWrap w:val="0"/>
            <w:vAlign w:val="center"/>
          </w:tcPr>
          <w:p w14:paraId="4ADDF1C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auto"/>
                <w:sz w:val="21"/>
                <w:szCs w:val="21"/>
              </w:rPr>
            </w:pPr>
          </w:p>
        </w:tc>
        <w:tc>
          <w:tcPr>
            <w:tcW w:w="0" w:type="auto"/>
            <w:shd w:val="clear" w:color="auto" w:fill="auto"/>
            <w:noWrap w:val="0"/>
            <w:vAlign w:val="center"/>
          </w:tcPr>
          <w:p w14:paraId="6EF8E43A">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9</w:t>
            </w:r>
          </w:p>
        </w:tc>
        <w:tc>
          <w:tcPr>
            <w:tcW w:w="0" w:type="auto"/>
            <w:shd w:val="clear" w:color="auto" w:fill="auto"/>
            <w:noWrap w:val="0"/>
            <w:vAlign w:val="center"/>
          </w:tcPr>
          <w:p w14:paraId="21C6E1A0">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11</w:t>
            </w:r>
          </w:p>
        </w:tc>
        <w:tc>
          <w:tcPr>
            <w:tcW w:w="0" w:type="auto"/>
            <w:shd w:val="clear" w:color="auto" w:fill="auto"/>
            <w:noWrap w:val="0"/>
            <w:vAlign w:val="center"/>
          </w:tcPr>
          <w:p w14:paraId="52D7B72F">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9</w:t>
            </w:r>
          </w:p>
        </w:tc>
        <w:tc>
          <w:tcPr>
            <w:tcW w:w="0" w:type="auto"/>
            <w:shd w:val="clear" w:color="auto" w:fill="auto"/>
            <w:noWrap w:val="0"/>
            <w:vAlign w:val="center"/>
          </w:tcPr>
          <w:p w14:paraId="34C1500C">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13</w:t>
            </w:r>
          </w:p>
        </w:tc>
        <w:tc>
          <w:tcPr>
            <w:tcW w:w="0" w:type="auto"/>
            <w:vMerge w:val="continue"/>
            <w:noWrap w:val="0"/>
            <w:vAlign w:val="center"/>
          </w:tcPr>
          <w:p w14:paraId="4C6054F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kern w:val="2"/>
                <w:sz w:val="21"/>
                <w:szCs w:val="21"/>
                <w:highlight w:val="none"/>
                <w:lang w:val="en-US" w:eastAsia="zh-CN" w:bidi="ar-SA"/>
              </w:rPr>
            </w:pPr>
          </w:p>
        </w:tc>
        <w:tc>
          <w:tcPr>
            <w:tcW w:w="0" w:type="auto"/>
            <w:vMerge w:val="continue"/>
            <w:shd w:val="clear" w:color="auto" w:fill="auto"/>
            <w:noWrap w:val="0"/>
            <w:vAlign w:val="center"/>
          </w:tcPr>
          <w:p w14:paraId="0B43CCA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kern w:val="2"/>
                <w:sz w:val="21"/>
                <w:szCs w:val="21"/>
                <w:highlight w:val="none"/>
                <w:lang w:val="en-US" w:eastAsia="zh-CN" w:bidi="ar-SA"/>
              </w:rPr>
            </w:pPr>
          </w:p>
        </w:tc>
        <w:tc>
          <w:tcPr>
            <w:tcW w:w="0" w:type="auto"/>
            <w:shd w:val="clear" w:color="auto" w:fill="auto"/>
            <w:noWrap w:val="0"/>
            <w:vAlign w:val="center"/>
          </w:tcPr>
          <w:p w14:paraId="49A3317C">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8</w:t>
            </w:r>
          </w:p>
        </w:tc>
        <w:tc>
          <w:tcPr>
            <w:tcW w:w="0" w:type="auto"/>
            <w:shd w:val="clear" w:color="auto" w:fill="auto"/>
            <w:noWrap w:val="0"/>
            <w:vAlign w:val="center"/>
          </w:tcPr>
          <w:p w14:paraId="5B73D4A5">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8</w:t>
            </w:r>
          </w:p>
        </w:tc>
        <w:tc>
          <w:tcPr>
            <w:tcW w:w="0" w:type="auto"/>
            <w:shd w:val="clear" w:color="auto" w:fill="auto"/>
            <w:noWrap w:val="0"/>
            <w:vAlign w:val="center"/>
          </w:tcPr>
          <w:p w14:paraId="1D7E35C6">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5</w:t>
            </w:r>
          </w:p>
        </w:tc>
        <w:tc>
          <w:tcPr>
            <w:tcW w:w="0" w:type="auto"/>
            <w:shd w:val="clear" w:color="auto" w:fill="auto"/>
            <w:noWrap w:val="0"/>
            <w:vAlign w:val="center"/>
          </w:tcPr>
          <w:p w14:paraId="21ED2C99">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6</w:t>
            </w:r>
          </w:p>
        </w:tc>
      </w:tr>
      <w:tr w14:paraId="3C2F11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0" w:type="auto"/>
            <w:vMerge w:val="continue"/>
            <w:noWrap w:val="0"/>
            <w:vAlign w:val="center"/>
          </w:tcPr>
          <w:p w14:paraId="60D2219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auto"/>
                <w:sz w:val="21"/>
                <w:szCs w:val="21"/>
              </w:rPr>
            </w:pPr>
          </w:p>
        </w:tc>
        <w:tc>
          <w:tcPr>
            <w:tcW w:w="0" w:type="auto"/>
            <w:shd w:val="clear" w:color="auto" w:fill="auto"/>
            <w:noWrap w:val="0"/>
            <w:vAlign w:val="center"/>
          </w:tcPr>
          <w:p w14:paraId="689380E4">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氨氮</w:t>
            </w:r>
          </w:p>
        </w:tc>
        <w:tc>
          <w:tcPr>
            <w:tcW w:w="0" w:type="auto"/>
            <w:vMerge w:val="continue"/>
            <w:noWrap w:val="0"/>
            <w:vAlign w:val="center"/>
          </w:tcPr>
          <w:p w14:paraId="474A56BE">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0" w:type="auto"/>
            <w:vMerge w:val="continue"/>
            <w:shd w:val="clear" w:color="auto" w:fill="auto"/>
            <w:noWrap w:val="0"/>
            <w:vAlign w:val="center"/>
          </w:tcPr>
          <w:p w14:paraId="72D24905">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0" w:type="auto"/>
            <w:shd w:val="clear" w:color="auto" w:fill="auto"/>
            <w:noWrap w:val="0"/>
            <w:vAlign w:val="center"/>
          </w:tcPr>
          <w:p w14:paraId="6E9523D3">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18.5</w:t>
            </w:r>
          </w:p>
        </w:tc>
        <w:tc>
          <w:tcPr>
            <w:tcW w:w="0" w:type="auto"/>
            <w:shd w:val="clear" w:color="auto" w:fill="auto"/>
            <w:noWrap w:val="0"/>
            <w:vAlign w:val="center"/>
          </w:tcPr>
          <w:p w14:paraId="4EC10C95">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18.5</w:t>
            </w:r>
          </w:p>
        </w:tc>
        <w:tc>
          <w:tcPr>
            <w:tcW w:w="0" w:type="auto"/>
            <w:shd w:val="clear" w:color="auto" w:fill="auto"/>
            <w:noWrap w:val="0"/>
            <w:vAlign w:val="center"/>
          </w:tcPr>
          <w:p w14:paraId="0919999C">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18.7</w:t>
            </w:r>
          </w:p>
        </w:tc>
        <w:tc>
          <w:tcPr>
            <w:tcW w:w="0" w:type="auto"/>
            <w:shd w:val="clear" w:color="auto" w:fill="auto"/>
            <w:noWrap w:val="0"/>
            <w:vAlign w:val="center"/>
          </w:tcPr>
          <w:p w14:paraId="23861F18">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18.5</w:t>
            </w:r>
          </w:p>
        </w:tc>
        <w:tc>
          <w:tcPr>
            <w:tcW w:w="0" w:type="auto"/>
            <w:vMerge w:val="continue"/>
            <w:noWrap w:val="0"/>
            <w:vAlign w:val="center"/>
          </w:tcPr>
          <w:p w14:paraId="2AB9047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kern w:val="2"/>
                <w:sz w:val="21"/>
                <w:szCs w:val="21"/>
                <w:lang w:val="en-US" w:eastAsia="zh-CN" w:bidi="ar-SA"/>
              </w:rPr>
            </w:pPr>
          </w:p>
        </w:tc>
        <w:tc>
          <w:tcPr>
            <w:tcW w:w="0" w:type="auto"/>
            <w:vMerge w:val="continue"/>
            <w:shd w:val="clear" w:color="auto" w:fill="auto"/>
            <w:noWrap w:val="0"/>
            <w:vAlign w:val="center"/>
          </w:tcPr>
          <w:p w14:paraId="6B68966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kern w:val="2"/>
                <w:sz w:val="21"/>
                <w:szCs w:val="21"/>
                <w:lang w:val="en-US" w:eastAsia="zh-CN" w:bidi="ar-SA"/>
              </w:rPr>
            </w:pPr>
          </w:p>
        </w:tc>
        <w:tc>
          <w:tcPr>
            <w:tcW w:w="0" w:type="auto"/>
            <w:shd w:val="clear" w:color="auto" w:fill="auto"/>
            <w:noWrap w:val="0"/>
            <w:vAlign w:val="center"/>
          </w:tcPr>
          <w:p w14:paraId="74D6404B">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0.434</w:t>
            </w:r>
          </w:p>
        </w:tc>
        <w:tc>
          <w:tcPr>
            <w:tcW w:w="0" w:type="auto"/>
            <w:shd w:val="clear" w:color="auto" w:fill="auto"/>
            <w:noWrap w:val="0"/>
            <w:vAlign w:val="center"/>
          </w:tcPr>
          <w:p w14:paraId="7C77ACEF">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0.388</w:t>
            </w:r>
          </w:p>
        </w:tc>
        <w:tc>
          <w:tcPr>
            <w:tcW w:w="0" w:type="auto"/>
            <w:shd w:val="clear" w:color="auto" w:fill="auto"/>
            <w:noWrap w:val="0"/>
            <w:vAlign w:val="center"/>
          </w:tcPr>
          <w:p w14:paraId="2E4DD2AA">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0.403</w:t>
            </w:r>
          </w:p>
        </w:tc>
        <w:tc>
          <w:tcPr>
            <w:tcW w:w="0" w:type="auto"/>
            <w:shd w:val="clear" w:color="auto" w:fill="auto"/>
            <w:noWrap w:val="0"/>
            <w:vAlign w:val="center"/>
          </w:tcPr>
          <w:p w14:paraId="3CC4EE07">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0.356</w:t>
            </w:r>
          </w:p>
        </w:tc>
      </w:tr>
      <w:tr w14:paraId="1E66DA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0" w:type="auto"/>
            <w:vMerge w:val="continue"/>
            <w:noWrap w:val="0"/>
            <w:vAlign w:val="center"/>
          </w:tcPr>
          <w:p w14:paraId="3D1D79E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auto"/>
                <w:sz w:val="21"/>
                <w:szCs w:val="21"/>
              </w:rPr>
            </w:pPr>
          </w:p>
        </w:tc>
        <w:tc>
          <w:tcPr>
            <w:tcW w:w="0" w:type="auto"/>
            <w:shd w:val="clear" w:color="auto" w:fill="auto"/>
            <w:noWrap w:val="0"/>
            <w:vAlign w:val="center"/>
          </w:tcPr>
          <w:p w14:paraId="5FF5EF2D">
            <w:pPr>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val="en-US" w:eastAsia="zh-CN"/>
              </w:rPr>
              <w:t>COD</w:t>
            </w:r>
          </w:p>
        </w:tc>
        <w:tc>
          <w:tcPr>
            <w:tcW w:w="0" w:type="auto"/>
            <w:vMerge w:val="continue"/>
            <w:noWrap w:val="0"/>
            <w:vAlign w:val="center"/>
          </w:tcPr>
          <w:p w14:paraId="1B0DE25D">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0" w:type="auto"/>
            <w:vMerge w:val="continue"/>
            <w:shd w:val="clear" w:color="auto" w:fill="auto"/>
            <w:noWrap w:val="0"/>
            <w:vAlign w:val="center"/>
          </w:tcPr>
          <w:p w14:paraId="258BEA91">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0" w:type="auto"/>
            <w:shd w:val="clear" w:color="auto" w:fill="auto"/>
            <w:noWrap w:val="0"/>
            <w:vAlign w:val="center"/>
          </w:tcPr>
          <w:p w14:paraId="7D1694F0">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108</w:t>
            </w:r>
          </w:p>
        </w:tc>
        <w:tc>
          <w:tcPr>
            <w:tcW w:w="0" w:type="auto"/>
            <w:shd w:val="clear" w:color="auto" w:fill="auto"/>
            <w:noWrap w:val="0"/>
            <w:vAlign w:val="center"/>
          </w:tcPr>
          <w:p w14:paraId="285C2A45">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111</w:t>
            </w:r>
          </w:p>
        </w:tc>
        <w:tc>
          <w:tcPr>
            <w:tcW w:w="0" w:type="auto"/>
            <w:shd w:val="clear" w:color="auto" w:fill="auto"/>
            <w:noWrap w:val="0"/>
            <w:vAlign w:val="center"/>
          </w:tcPr>
          <w:p w14:paraId="20FAF33E">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105</w:t>
            </w:r>
          </w:p>
        </w:tc>
        <w:tc>
          <w:tcPr>
            <w:tcW w:w="0" w:type="auto"/>
            <w:shd w:val="clear" w:color="auto" w:fill="auto"/>
            <w:noWrap w:val="0"/>
            <w:vAlign w:val="center"/>
          </w:tcPr>
          <w:p w14:paraId="28457437">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107</w:t>
            </w:r>
          </w:p>
        </w:tc>
        <w:tc>
          <w:tcPr>
            <w:tcW w:w="0" w:type="auto"/>
            <w:vMerge w:val="continue"/>
            <w:noWrap w:val="0"/>
            <w:vAlign w:val="center"/>
          </w:tcPr>
          <w:p w14:paraId="594F5B4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kern w:val="2"/>
                <w:sz w:val="21"/>
                <w:szCs w:val="21"/>
                <w:lang w:val="en-US" w:eastAsia="zh-CN" w:bidi="ar-SA"/>
              </w:rPr>
            </w:pPr>
          </w:p>
        </w:tc>
        <w:tc>
          <w:tcPr>
            <w:tcW w:w="0" w:type="auto"/>
            <w:vMerge w:val="continue"/>
            <w:shd w:val="clear" w:color="auto" w:fill="auto"/>
            <w:noWrap w:val="0"/>
            <w:vAlign w:val="center"/>
          </w:tcPr>
          <w:p w14:paraId="4D69AE7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kern w:val="2"/>
                <w:sz w:val="21"/>
                <w:szCs w:val="21"/>
                <w:lang w:val="en-US" w:eastAsia="zh-CN" w:bidi="ar-SA"/>
              </w:rPr>
            </w:pPr>
          </w:p>
        </w:tc>
        <w:tc>
          <w:tcPr>
            <w:tcW w:w="0" w:type="auto"/>
            <w:shd w:val="clear" w:color="auto" w:fill="auto"/>
            <w:noWrap w:val="0"/>
            <w:vAlign w:val="center"/>
          </w:tcPr>
          <w:p w14:paraId="26961FE0">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42</w:t>
            </w:r>
          </w:p>
        </w:tc>
        <w:tc>
          <w:tcPr>
            <w:tcW w:w="0" w:type="auto"/>
            <w:shd w:val="clear" w:color="auto" w:fill="auto"/>
            <w:noWrap w:val="0"/>
            <w:vAlign w:val="center"/>
          </w:tcPr>
          <w:p w14:paraId="73D098A4">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48</w:t>
            </w:r>
          </w:p>
        </w:tc>
        <w:tc>
          <w:tcPr>
            <w:tcW w:w="0" w:type="auto"/>
            <w:shd w:val="clear" w:color="auto" w:fill="auto"/>
            <w:noWrap w:val="0"/>
            <w:vAlign w:val="center"/>
          </w:tcPr>
          <w:p w14:paraId="2EB1AD99">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40</w:t>
            </w:r>
          </w:p>
        </w:tc>
        <w:tc>
          <w:tcPr>
            <w:tcW w:w="0" w:type="auto"/>
            <w:shd w:val="clear" w:color="auto" w:fill="auto"/>
            <w:noWrap w:val="0"/>
            <w:vAlign w:val="center"/>
          </w:tcPr>
          <w:p w14:paraId="46071D3D">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47</w:t>
            </w:r>
          </w:p>
        </w:tc>
      </w:tr>
      <w:tr w14:paraId="527156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0" w:type="auto"/>
            <w:vMerge w:val="continue"/>
            <w:noWrap w:val="0"/>
            <w:vAlign w:val="center"/>
          </w:tcPr>
          <w:p w14:paraId="6675E0B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auto"/>
                <w:sz w:val="21"/>
                <w:szCs w:val="21"/>
              </w:rPr>
            </w:pPr>
          </w:p>
        </w:tc>
        <w:tc>
          <w:tcPr>
            <w:tcW w:w="0" w:type="auto"/>
            <w:shd w:val="clear" w:color="auto" w:fill="auto"/>
            <w:noWrap w:val="0"/>
            <w:vAlign w:val="center"/>
          </w:tcPr>
          <w:p w14:paraId="2CCFD122">
            <w:pPr>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BOD</w:t>
            </w:r>
            <w:r>
              <w:rPr>
                <w:rFonts w:hint="eastAsia" w:ascii="宋体" w:hAnsi="宋体" w:eastAsia="宋体" w:cs="宋体"/>
                <w:color w:val="000000"/>
                <w:kern w:val="0"/>
                <w:sz w:val="21"/>
                <w:szCs w:val="21"/>
                <w:vertAlign w:val="subscript"/>
                <w:lang w:val="en-US" w:eastAsia="zh-CN" w:bidi="ar-SA"/>
              </w:rPr>
              <w:t>5</w:t>
            </w:r>
          </w:p>
        </w:tc>
        <w:tc>
          <w:tcPr>
            <w:tcW w:w="0" w:type="auto"/>
            <w:vMerge w:val="continue"/>
            <w:noWrap w:val="0"/>
            <w:vAlign w:val="center"/>
          </w:tcPr>
          <w:p w14:paraId="1733138B">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0" w:type="auto"/>
            <w:vMerge w:val="continue"/>
            <w:shd w:val="clear" w:color="auto" w:fill="auto"/>
            <w:noWrap w:val="0"/>
            <w:vAlign w:val="center"/>
          </w:tcPr>
          <w:p w14:paraId="324DBA01">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0" w:type="auto"/>
            <w:shd w:val="clear" w:color="auto" w:fill="auto"/>
            <w:noWrap w:val="0"/>
            <w:vAlign w:val="center"/>
          </w:tcPr>
          <w:p w14:paraId="4AA87B75">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39.5</w:t>
            </w:r>
          </w:p>
        </w:tc>
        <w:tc>
          <w:tcPr>
            <w:tcW w:w="0" w:type="auto"/>
            <w:shd w:val="clear" w:color="auto" w:fill="auto"/>
            <w:noWrap w:val="0"/>
            <w:vAlign w:val="center"/>
          </w:tcPr>
          <w:p w14:paraId="55750BFD">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40.8</w:t>
            </w:r>
          </w:p>
        </w:tc>
        <w:tc>
          <w:tcPr>
            <w:tcW w:w="0" w:type="auto"/>
            <w:shd w:val="clear" w:color="auto" w:fill="auto"/>
            <w:noWrap w:val="0"/>
            <w:vAlign w:val="center"/>
          </w:tcPr>
          <w:p w14:paraId="120D665A">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41.1</w:t>
            </w:r>
          </w:p>
        </w:tc>
        <w:tc>
          <w:tcPr>
            <w:tcW w:w="0" w:type="auto"/>
            <w:shd w:val="clear" w:color="auto" w:fill="auto"/>
            <w:noWrap w:val="0"/>
            <w:vAlign w:val="center"/>
          </w:tcPr>
          <w:p w14:paraId="5994600D">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41.7</w:t>
            </w:r>
          </w:p>
        </w:tc>
        <w:tc>
          <w:tcPr>
            <w:tcW w:w="0" w:type="auto"/>
            <w:vMerge w:val="continue"/>
            <w:noWrap w:val="0"/>
            <w:vAlign w:val="center"/>
          </w:tcPr>
          <w:p w14:paraId="6F9B8DA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lang w:val="en-US" w:eastAsia="zh-CN"/>
              </w:rPr>
            </w:pPr>
          </w:p>
        </w:tc>
        <w:tc>
          <w:tcPr>
            <w:tcW w:w="0" w:type="auto"/>
            <w:vMerge w:val="continue"/>
            <w:shd w:val="clear" w:color="auto" w:fill="auto"/>
            <w:noWrap w:val="0"/>
            <w:vAlign w:val="center"/>
          </w:tcPr>
          <w:p w14:paraId="2B1EF46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lang w:val="en-US" w:eastAsia="zh-CN"/>
              </w:rPr>
            </w:pPr>
          </w:p>
        </w:tc>
        <w:tc>
          <w:tcPr>
            <w:tcW w:w="0" w:type="auto"/>
            <w:shd w:val="clear" w:color="auto" w:fill="auto"/>
            <w:noWrap w:val="0"/>
            <w:vAlign w:val="center"/>
          </w:tcPr>
          <w:p w14:paraId="46BC0C1C">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7.6</w:t>
            </w:r>
          </w:p>
        </w:tc>
        <w:tc>
          <w:tcPr>
            <w:tcW w:w="0" w:type="auto"/>
            <w:shd w:val="clear" w:color="auto" w:fill="auto"/>
            <w:noWrap w:val="0"/>
            <w:vAlign w:val="center"/>
          </w:tcPr>
          <w:p w14:paraId="17E8AAEE">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7.5</w:t>
            </w:r>
          </w:p>
        </w:tc>
        <w:tc>
          <w:tcPr>
            <w:tcW w:w="0" w:type="auto"/>
            <w:shd w:val="clear" w:color="auto" w:fill="auto"/>
            <w:noWrap w:val="0"/>
            <w:vAlign w:val="center"/>
          </w:tcPr>
          <w:p w14:paraId="3B543808">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7.5</w:t>
            </w:r>
          </w:p>
        </w:tc>
        <w:tc>
          <w:tcPr>
            <w:tcW w:w="0" w:type="auto"/>
            <w:shd w:val="clear" w:color="auto" w:fill="auto"/>
            <w:noWrap w:val="0"/>
            <w:vAlign w:val="center"/>
          </w:tcPr>
          <w:p w14:paraId="0D6C48F9">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7.1</w:t>
            </w:r>
          </w:p>
        </w:tc>
      </w:tr>
      <w:tr w14:paraId="36B586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0" w:type="auto"/>
            <w:vMerge w:val="continue"/>
            <w:noWrap w:val="0"/>
            <w:vAlign w:val="center"/>
          </w:tcPr>
          <w:p w14:paraId="7E68515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auto"/>
                <w:sz w:val="21"/>
                <w:szCs w:val="21"/>
              </w:rPr>
            </w:pPr>
          </w:p>
        </w:tc>
        <w:tc>
          <w:tcPr>
            <w:tcW w:w="0" w:type="auto"/>
            <w:shd w:val="clear" w:color="auto" w:fill="auto"/>
            <w:noWrap w:val="0"/>
            <w:vAlign w:val="center"/>
          </w:tcPr>
          <w:p w14:paraId="52D94659">
            <w:pPr>
              <w:jc w:val="center"/>
              <w:rPr>
                <w:rFonts w:hint="eastAsia" w:ascii="宋体" w:hAnsi="宋体" w:eastAsia="宋体" w:cs="宋体"/>
                <w:color w:val="0000FF"/>
                <w:kern w:val="0"/>
                <w:sz w:val="21"/>
                <w:szCs w:val="21"/>
                <w:lang w:val="en-US" w:eastAsia="zh-CN" w:bidi="ar-SA"/>
              </w:rPr>
            </w:pPr>
            <w:r>
              <w:rPr>
                <w:rFonts w:hint="eastAsia" w:ascii="宋体" w:hAnsi="宋体" w:eastAsia="宋体" w:cs="宋体"/>
                <w:color w:val="auto"/>
                <w:kern w:val="0"/>
                <w:sz w:val="21"/>
                <w:szCs w:val="21"/>
                <w:lang w:val="en-US" w:eastAsia="zh-CN"/>
              </w:rPr>
              <w:t>总磷</w:t>
            </w:r>
          </w:p>
        </w:tc>
        <w:tc>
          <w:tcPr>
            <w:tcW w:w="0" w:type="auto"/>
            <w:vMerge w:val="continue"/>
            <w:noWrap w:val="0"/>
            <w:vAlign w:val="center"/>
          </w:tcPr>
          <w:p w14:paraId="275CA80C">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0" w:type="auto"/>
            <w:vMerge w:val="continue"/>
            <w:shd w:val="clear" w:color="auto" w:fill="auto"/>
            <w:noWrap w:val="0"/>
            <w:vAlign w:val="center"/>
          </w:tcPr>
          <w:p w14:paraId="4B1B3A4E">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0" w:type="auto"/>
            <w:shd w:val="clear" w:color="auto" w:fill="auto"/>
            <w:noWrap w:val="0"/>
            <w:vAlign w:val="center"/>
          </w:tcPr>
          <w:p w14:paraId="4651776B">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0.10</w:t>
            </w:r>
          </w:p>
        </w:tc>
        <w:tc>
          <w:tcPr>
            <w:tcW w:w="0" w:type="auto"/>
            <w:shd w:val="clear" w:color="auto" w:fill="auto"/>
            <w:noWrap w:val="0"/>
            <w:vAlign w:val="center"/>
          </w:tcPr>
          <w:p w14:paraId="3393A7C0">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0.08</w:t>
            </w:r>
          </w:p>
        </w:tc>
        <w:tc>
          <w:tcPr>
            <w:tcW w:w="0" w:type="auto"/>
            <w:shd w:val="clear" w:color="auto" w:fill="auto"/>
            <w:noWrap w:val="0"/>
            <w:vAlign w:val="center"/>
          </w:tcPr>
          <w:p w14:paraId="47BE69A0">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0.12</w:t>
            </w:r>
          </w:p>
        </w:tc>
        <w:tc>
          <w:tcPr>
            <w:tcW w:w="0" w:type="auto"/>
            <w:shd w:val="clear" w:color="auto" w:fill="auto"/>
            <w:noWrap w:val="0"/>
            <w:vAlign w:val="center"/>
          </w:tcPr>
          <w:p w14:paraId="243352D9">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0.10</w:t>
            </w:r>
          </w:p>
        </w:tc>
        <w:tc>
          <w:tcPr>
            <w:tcW w:w="0" w:type="auto"/>
            <w:vMerge w:val="continue"/>
            <w:noWrap w:val="0"/>
            <w:vAlign w:val="center"/>
          </w:tcPr>
          <w:p w14:paraId="4B77FEC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lang w:val="en-US" w:eastAsia="zh-CN"/>
              </w:rPr>
            </w:pPr>
          </w:p>
        </w:tc>
        <w:tc>
          <w:tcPr>
            <w:tcW w:w="0" w:type="auto"/>
            <w:vMerge w:val="continue"/>
            <w:shd w:val="clear" w:color="auto" w:fill="auto"/>
            <w:noWrap w:val="0"/>
            <w:vAlign w:val="center"/>
          </w:tcPr>
          <w:p w14:paraId="43AC88D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lang w:val="en-US" w:eastAsia="zh-CN"/>
              </w:rPr>
            </w:pPr>
          </w:p>
        </w:tc>
        <w:tc>
          <w:tcPr>
            <w:tcW w:w="0" w:type="auto"/>
            <w:shd w:val="clear" w:color="auto" w:fill="auto"/>
            <w:noWrap w:val="0"/>
            <w:vAlign w:val="center"/>
          </w:tcPr>
          <w:p w14:paraId="79662926">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0.04</w:t>
            </w:r>
          </w:p>
        </w:tc>
        <w:tc>
          <w:tcPr>
            <w:tcW w:w="0" w:type="auto"/>
            <w:shd w:val="clear" w:color="auto" w:fill="auto"/>
            <w:noWrap w:val="0"/>
            <w:vAlign w:val="center"/>
          </w:tcPr>
          <w:p w14:paraId="3FAA0310">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0.02</w:t>
            </w:r>
          </w:p>
        </w:tc>
        <w:tc>
          <w:tcPr>
            <w:tcW w:w="0" w:type="auto"/>
            <w:shd w:val="clear" w:color="auto" w:fill="auto"/>
            <w:noWrap w:val="0"/>
            <w:vAlign w:val="center"/>
          </w:tcPr>
          <w:p w14:paraId="1293C28B">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0.03</w:t>
            </w:r>
          </w:p>
        </w:tc>
        <w:tc>
          <w:tcPr>
            <w:tcW w:w="0" w:type="auto"/>
            <w:shd w:val="clear" w:color="auto" w:fill="auto"/>
            <w:noWrap w:val="0"/>
            <w:vAlign w:val="center"/>
          </w:tcPr>
          <w:p w14:paraId="506C870B">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0.02</w:t>
            </w:r>
          </w:p>
        </w:tc>
      </w:tr>
      <w:tr w14:paraId="71BD39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0" w:type="auto"/>
            <w:vMerge w:val="continue"/>
            <w:noWrap w:val="0"/>
            <w:vAlign w:val="center"/>
          </w:tcPr>
          <w:p w14:paraId="77E01F0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auto"/>
                <w:sz w:val="21"/>
                <w:szCs w:val="21"/>
              </w:rPr>
            </w:pPr>
          </w:p>
        </w:tc>
        <w:tc>
          <w:tcPr>
            <w:tcW w:w="0" w:type="auto"/>
            <w:shd w:val="clear" w:color="auto" w:fill="auto"/>
            <w:noWrap w:val="0"/>
            <w:vAlign w:val="center"/>
          </w:tcPr>
          <w:p w14:paraId="41A71FD1">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石油类</w:t>
            </w:r>
          </w:p>
        </w:tc>
        <w:tc>
          <w:tcPr>
            <w:tcW w:w="0" w:type="auto"/>
            <w:vMerge w:val="continue"/>
            <w:noWrap w:val="0"/>
            <w:vAlign w:val="center"/>
          </w:tcPr>
          <w:p w14:paraId="46024FC1">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0" w:type="auto"/>
            <w:vMerge w:val="continue"/>
            <w:shd w:val="clear" w:color="auto" w:fill="auto"/>
            <w:noWrap w:val="0"/>
            <w:vAlign w:val="center"/>
          </w:tcPr>
          <w:p w14:paraId="54A7BF1D">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0" w:type="auto"/>
            <w:shd w:val="clear" w:color="auto" w:fill="auto"/>
            <w:noWrap w:val="0"/>
            <w:vAlign w:val="center"/>
          </w:tcPr>
          <w:p w14:paraId="0757096B">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3.43</w:t>
            </w:r>
          </w:p>
        </w:tc>
        <w:tc>
          <w:tcPr>
            <w:tcW w:w="0" w:type="auto"/>
            <w:shd w:val="clear" w:color="auto" w:fill="auto"/>
            <w:noWrap w:val="0"/>
            <w:vAlign w:val="center"/>
          </w:tcPr>
          <w:p w14:paraId="47458193">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3.37</w:t>
            </w:r>
          </w:p>
        </w:tc>
        <w:tc>
          <w:tcPr>
            <w:tcW w:w="0" w:type="auto"/>
            <w:shd w:val="clear" w:color="auto" w:fill="auto"/>
            <w:noWrap w:val="0"/>
            <w:vAlign w:val="center"/>
          </w:tcPr>
          <w:p w14:paraId="79CB852F">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3.33</w:t>
            </w:r>
          </w:p>
        </w:tc>
        <w:tc>
          <w:tcPr>
            <w:tcW w:w="0" w:type="auto"/>
            <w:shd w:val="clear" w:color="auto" w:fill="auto"/>
            <w:noWrap w:val="0"/>
            <w:vAlign w:val="center"/>
          </w:tcPr>
          <w:p w14:paraId="419A51BE">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3.36</w:t>
            </w:r>
          </w:p>
        </w:tc>
        <w:tc>
          <w:tcPr>
            <w:tcW w:w="0" w:type="auto"/>
            <w:vMerge w:val="continue"/>
            <w:noWrap w:val="0"/>
            <w:vAlign w:val="center"/>
          </w:tcPr>
          <w:p w14:paraId="45D011C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lang w:val="en-US" w:eastAsia="zh-CN"/>
              </w:rPr>
            </w:pPr>
          </w:p>
        </w:tc>
        <w:tc>
          <w:tcPr>
            <w:tcW w:w="0" w:type="auto"/>
            <w:vMerge w:val="continue"/>
            <w:shd w:val="clear" w:color="auto" w:fill="auto"/>
            <w:noWrap w:val="0"/>
            <w:vAlign w:val="center"/>
          </w:tcPr>
          <w:p w14:paraId="3DC00C6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lang w:val="en-US" w:eastAsia="zh-CN"/>
              </w:rPr>
            </w:pPr>
          </w:p>
        </w:tc>
        <w:tc>
          <w:tcPr>
            <w:tcW w:w="0" w:type="auto"/>
            <w:shd w:val="clear" w:color="auto" w:fill="auto"/>
            <w:noWrap w:val="0"/>
            <w:vAlign w:val="center"/>
          </w:tcPr>
          <w:p w14:paraId="6BB446CB">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0.06L</w:t>
            </w:r>
          </w:p>
        </w:tc>
        <w:tc>
          <w:tcPr>
            <w:tcW w:w="0" w:type="auto"/>
            <w:shd w:val="clear" w:color="auto" w:fill="auto"/>
            <w:noWrap w:val="0"/>
            <w:vAlign w:val="center"/>
          </w:tcPr>
          <w:p w14:paraId="2E63AE3C">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0.06</w:t>
            </w:r>
          </w:p>
        </w:tc>
        <w:tc>
          <w:tcPr>
            <w:tcW w:w="0" w:type="auto"/>
            <w:shd w:val="clear" w:color="auto" w:fill="auto"/>
            <w:noWrap w:val="0"/>
            <w:vAlign w:val="center"/>
          </w:tcPr>
          <w:p w14:paraId="61CDEB9E">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0.06</w:t>
            </w:r>
          </w:p>
        </w:tc>
        <w:tc>
          <w:tcPr>
            <w:tcW w:w="0" w:type="auto"/>
            <w:shd w:val="clear" w:color="auto" w:fill="auto"/>
            <w:noWrap w:val="0"/>
            <w:vAlign w:val="center"/>
          </w:tcPr>
          <w:p w14:paraId="4FD04FCE">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0.06L</w:t>
            </w:r>
          </w:p>
        </w:tc>
      </w:tr>
      <w:tr w14:paraId="6AC723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0" w:type="auto"/>
            <w:vMerge w:val="continue"/>
            <w:noWrap w:val="0"/>
            <w:vAlign w:val="top"/>
          </w:tcPr>
          <w:p w14:paraId="5683515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auto"/>
                <w:sz w:val="21"/>
                <w:szCs w:val="21"/>
              </w:rPr>
            </w:pPr>
          </w:p>
        </w:tc>
        <w:tc>
          <w:tcPr>
            <w:tcW w:w="0" w:type="auto"/>
            <w:shd w:val="clear" w:color="auto" w:fill="auto"/>
            <w:noWrap w:val="0"/>
            <w:vAlign w:val="center"/>
          </w:tcPr>
          <w:p w14:paraId="3D44ED38">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动植物油类</w:t>
            </w:r>
          </w:p>
        </w:tc>
        <w:tc>
          <w:tcPr>
            <w:tcW w:w="0" w:type="auto"/>
            <w:vMerge w:val="continue"/>
            <w:noWrap w:val="0"/>
            <w:vAlign w:val="top"/>
          </w:tcPr>
          <w:p w14:paraId="42001835">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0" w:type="auto"/>
            <w:vMerge w:val="continue"/>
            <w:shd w:val="clear" w:color="auto" w:fill="auto"/>
            <w:noWrap w:val="0"/>
            <w:vAlign w:val="center"/>
          </w:tcPr>
          <w:p w14:paraId="596533E5">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0" w:type="auto"/>
            <w:shd w:val="clear" w:color="auto" w:fill="auto"/>
            <w:noWrap w:val="0"/>
            <w:vAlign w:val="center"/>
          </w:tcPr>
          <w:p w14:paraId="5A743942">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0.12</w:t>
            </w:r>
          </w:p>
        </w:tc>
        <w:tc>
          <w:tcPr>
            <w:tcW w:w="0" w:type="auto"/>
            <w:shd w:val="clear" w:color="auto" w:fill="auto"/>
            <w:noWrap w:val="0"/>
            <w:vAlign w:val="center"/>
          </w:tcPr>
          <w:p w14:paraId="242BE2DE">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0.15</w:t>
            </w:r>
          </w:p>
        </w:tc>
        <w:tc>
          <w:tcPr>
            <w:tcW w:w="0" w:type="auto"/>
            <w:shd w:val="clear" w:color="auto" w:fill="auto"/>
            <w:noWrap w:val="0"/>
            <w:vAlign w:val="center"/>
          </w:tcPr>
          <w:p w14:paraId="75E44F5A">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0.13</w:t>
            </w:r>
          </w:p>
        </w:tc>
        <w:tc>
          <w:tcPr>
            <w:tcW w:w="0" w:type="auto"/>
            <w:shd w:val="clear" w:color="auto" w:fill="auto"/>
            <w:noWrap w:val="0"/>
            <w:vAlign w:val="center"/>
          </w:tcPr>
          <w:p w14:paraId="21BCDAC2">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0.12</w:t>
            </w:r>
          </w:p>
        </w:tc>
        <w:tc>
          <w:tcPr>
            <w:tcW w:w="0" w:type="auto"/>
            <w:vMerge w:val="continue"/>
            <w:noWrap w:val="0"/>
            <w:vAlign w:val="top"/>
          </w:tcPr>
          <w:p w14:paraId="1B0FA00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lang w:val="en-US" w:eastAsia="zh-CN"/>
              </w:rPr>
            </w:pPr>
          </w:p>
        </w:tc>
        <w:tc>
          <w:tcPr>
            <w:tcW w:w="0" w:type="auto"/>
            <w:vMerge w:val="continue"/>
            <w:shd w:val="clear" w:color="auto" w:fill="auto"/>
            <w:noWrap w:val="0"/>
            <w:vAlign w:val="center"/>
          </w:tcPr>
          <w:p w14:paraId="25491EB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lang w:val="en-US" w:eastAsia="zh-CN"/>
              </w:rPr>
            </w:pPr>
          </w:p>
        </w:tc>
        <w:tc>
          <w:tcPr>
            <w:tcW w:w="0" w:type="auto"/>
            <w:shd w:val="clear" w:color="auto" w:fill="auto"/>
            <w:noWrap w:val="0"/>
            <w:vAlign w:val="center"/>
          </w:tcPr>
          <w:p w14:paraId="108AF3B8">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1.46</w:t>
            </w:r>
          </w:p>
        </w:tc>
        <w:tc>
          <w:tcPr>
            <w:tcW w:w="0" w:type="auto"/>
            <w:shd w:val="clear" w:color="auto" w:fill="auto"/>
            <w:noWrap w:val="0"/>
            <w:vAlign w:val="center"/>
          </w:tcPr>
          <w:p w14:paraId="14FE94AB">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1.36</w:t>
            </w:r>
          </w:p>
        </w:tc>
        <w:tc>
          <w:tcPr>
            <w:tcW w:w="0" w:type="auto"/>
            <w:shd w:val="clear" w:color="auto" w:fill="auto"/>
            <w:noWrap w:val="0"/>
            <w:vAlign w:val="center"/>
          </w:tcPr>
          <w:p w14:paraId="1E2A7C4F">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1.56</w:t>
            </w:r>
          </w:p>
        </w:tc>
        <w:tc>
          <w:tcPr>
            <w:tcW w:w="0" w:type="auto"/>
            <w:shd w:val="clear" w:color="auto" w:fill="auto"/>
            <w:noWrap w:val="0"/>
            <w:vAlign w:val="center"/>
          </w:tcPr>
          <w:p w14:paraId="2D7621B3">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1.54</w:t>
            </w:r>
          </w:p>
        </w:tc>
      </w:tr>
      <w:tr w14:paraId="5363A9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0" w:type="auto"/>
            <w:vMerge w:val="continue"/>
            <w:noWrap w:val="0"/>
            <w:vAlign w:val="top"/>
          </w:tcPr>
          <w:p w14:paraId="2759C6C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auto"/>
                <w:sz w:val="21"/>
                <w:szCs w:val="21"/>
              </w:rPr>
            </w:pPr>
          </w:p>
        </w:tc>
        <w:tc>
          <w:tcPr>
            <w:tcW w:w="0" w:type="auto"/>
            <w:shd w:val="clear" w:color="auto" w:fill="auto"/>
            <w:noWrap w:val="0"/>
            <w:vAlign w:val="center"/>
          </w:tcPr>
          <w:p w14:paraId="42A92496">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总氮</w:t>
            </w:r>
          </w:p>
        </w:tc>
        <w:tc>
          <w:tcPr>
            <w:tcW w:w="0" w:type="auto"/>
            <w:vMerge w:val="continue"/>
            <w:noWrap w:val="0"/>
            <w:vAlign w:val="top"/>
          </w:tcPr>
          <w:p w14:paraId="42A99AD0">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0" w:type="auto"/>
            <w:vMerge w:val="continue"/>
            <w:shd w:val="clear" w:color="auto" w:fill="auto"/>
            <w:noWrap w:val="0"/>
            <w:vAlign w:val="center"/>
          </w:tcPr>
          <w:p w14:paraId="096B1B75">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0" w:type="auto"/>
            <w:shd w:val="clear" w:color="auto" w:fill="auto"/>
            <w:noWrap w:val="0"/>
            <w:vAlign w:val="center"/>
          </w:tcPr>
          <w:p w14:paraId="52D0846D">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29.6</w:t>
            </w:r>
          </w:p>
        </w:tc>
        <w:tc>
          <w:tcPr>
            <w:tcW w:w="0" w:type="auto"/>
            <w:shd w:val="clear" w:color="auto" w:fill="auto"/>
            <w:noWrap w:val="0"/>
            <w:vAlign w:val="center"/>
          </w:tcPr>
          <w:p w14:paraId="63DD2BA6">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32.2</w:t>
            </w:r>
          </w:p>
        </w:tc>
        <w:tc>
          <w:tcPr>
            <w:tcW w:w="0" w:type="auto"/>
            <w:shd w:val="clear" w:color="auto" w:fill="auto"/>
            <w:noWrap w:val="0"/>
            <w:vAlign w:val="center"/>
          </w:tcPr>
          <w:p w14:paraId="2F6A0B2D">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30.6</w:t>
            </w:r>
          </w:p>
        </w:tc>
        <w:tc>
          <w:tcPr>
            <w:tcW w:w="0" w:type="auto"/>
            <w:shd w:val="clear" w:color="auto" w:fill="auto"/>
            <w:noWrap w:val="0"/>
            <w:vAlign w:val="center"/>
          </w:tcPr>
          <w:p w14:paraId="250BF6B1">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27.7</w:t>
            </w:r>
          </w:p>
        </w:tc>
        <w:tc>
          <w:tcPr>
            <w:tcW w:w="0" w:type="auto"/>
            <w:vMerge w:val="continue"/>
            <w:noWrap w:val="0"/>
            <w:vAlign w:val="top"/>
          </w:tcPr>
          <w:p w14:paraId="0F5B1DB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lang w:val="en-US" w:eastAsia="zh-CN"/>
              </w:rPr>
            </w:pPr>
          </w:p>
        </w:tc>
        <w:tc>
          <w:tcPr>
            <w:tcW w:w="0" w:type="auto"/>
            <w:vMerge w:val="continue"/>
            <w:shd w:val="clear" w:color="auto" w:fill="auto"/>
            <w:noWrap w:val="0"/>
            <w:vAlign w:val="center"/>
          </w:tcPr>
          <w:p w14:paraId="7640533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lang w:val="en-US" w:eastAsia="zh-CN"/>
              </w:rPr>
            </w:pPr>
          </w:p>
        </w:tc>
        <w:tc>
          <w:tcPr>
            <w:tcW w:w="0" w:type="auto"/>
            <w:shd w:val="clear" w:color="auto" w:fill="auto"/>
            <w:noWrap w:val="0"/>
            <w:vAlign w:val="center"/>
          </w:tcPr>
          <w:p w14:paraId="2D6A3553">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0.07</w:t>
            </w:r>
          </w:p>
        </w:tc>
        <w:tc>
          <w:tcPr>
            <w:tcW w:w="0" w:type="auto"/>
            <w:shd w:val="clear" w:color="auto" w:fill="auto"/>
            <w:noWrap w:val="0"/>
            <w:vAlign w:val="center"/>
          </w:tcPr>
          <w:p w14:paraId="2A212DBF">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0.06</w:t>
            </w:r>
          </w:p>
        </w:tc>
        <w:tc>
          <w:tcPr>
            <w:tcW w:w="0" w:type="auto"/>
            <w:shd w:val="clear" w:color="auto" w:fill="auto"/>
            <w:noWrap w:val="0"/>
            <w:vAlign w:val="center"/>
          </w:tcPr>
          <w:p w14:paraId="5319A053">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0.06</w:t>
            </w:r>
          </w:p>
        </w:tc>
        <w:tc>
          <w:tcPr>
            <w:tcW w:w="0" w:type="auto"/>
            <w:shd w:val="clear" w:color="auto" w:fill="auto"/>
            <w:noWrap w:val="0"/>
            <w:vAlign w:val="center"/>
          </w:tcPr>
          <w:p w14:paraId="06D87A28">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0.06</w:t>
            </w:r>
          </w:p>
        </w:tc>
      </w:tr>
      <w:tr w14:paraId="07C1D6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0" w:type="auto"/>
            <w:vMerge w:val="continue"/>
            <w:noWrap w:val="0"/>
            <w:vAlign w:val="top"/>
          </w:tcPr>
          <w:p w14:paraId="3B930FB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auto"/>
                <w:sz w:val="21"/>
                <w:szCs w:val="21"/>
              </w:rPr>
            </w:pPr>
          </w:p>
        </w:tc>
        <w:tc>
          <w:tcPr>
            <w:tcW w:w="0" w:type="auto"/>
            <w:shd w:val="clear" w:color="auto" w:fill="auto"/>
            <w:noWrap w:val="0"/>
            <w:vAlign w:val="center"/>
          </w:tcPr>
          <w:p w14:paraId="6D91C5B9">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粪大肠菌群（MPN/L）</w:t>
            </w:r>
          </w:p>
        </w:tc>
        <w:tc>
          <w:tcPr>
            <w:tcW w:w="0" w:type="auto"/>
            <w:vMerge w:val="continue"/>
            <w:noWrap w:val="0"/>
            <w:vAlign w:val="top"/>
          </w:tcPr>
          <w:p w14:paraId="6F5E1864">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0" w:type="auto"/>
            <w:vMerge w:val="continue"/>
            <w:shd w:val="clear" w:color="auto" w:fill="auto"/>
            <w:noWrap w:val="0"/>
            <w:vAlign w:val="center"/>
          </w:tcPr>
          <w:p w14:paraId="021399F5">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0" w:type="auto"/>
            <w:shd w:val="clear" w:color="auto" w:fill="auto"/>
            <w:noWrap w:val="0"/>
            <w:vAlign w:val="center"/>
          </w:tcPr>
          <w:p w14:paraId="16F8EBEA">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4.5×10</w:t>
            </w:r>
            <w:r>
              <w:rPr>
                <w:rFonts w:hint="eastAsia" w:ascii="宋体" w:hAnsi="宋体" w:eastAsia="宋体" w:cs="宋体"/>
                <w:color w:val="000000"/>
                <w:sz w:val="21"/>
                <w:szCs w:val="21"/>
                <w:vertAlign w:val="superscript"/>
                <w:lang w:val="en-US" w:eastAsia="zh-CN"/>
              </w:rPr>
              <w:t>2</w:t>
            </w:r>
          </w:p>
        </w:tc>
        <w:tc>
          <w:tcPr>
            <w:tcW w:w="0" w:type="auto"/>
            <w:shd w:val="clear" w:color="auto" w:fill="auto"/>
            <w:noWrap w:val="0"/>
            <w:vAlign w:val="center"/>
          </w:tcPr>
          <w:p w14:paraId="57DD76D4">
            <w:pPr>
              <w:keepNext w:val="0"/>
              <w:keepLines w:val="0"/>
              <w:widowControl/>
              <w:suppressLineNumbers w:val="0"/>
              <w:jc w:val="center"/>
              <w:textAlignment w:val="bottom"/>
              <w:rPr>
                <w:rFonts w:hint="eastAsia" w:ascii="宋体" w:hAnsi="宋体" w:eastAsia="宋体" w:cs="宋体"/>
                <w:color w:val="000000"/>
                <w:kern w:val="2"/>
                <w:sz w:val="21"/>
                <w:szCs w:val="21"/>
                <w:vertAlign w:val="superscript"/>
                <w:lang w:val="en-US" w:eastAsia="zh-CN" w:bidi="ar-SA"/>
              </w:rPr>
            </w:pPr>
            <w:r>
              <w:rPr>
                <w:rFonts w:hint="eastAsia" w:ascii="宋体" w:hAnsi="宋体" w:eastAsia="宋体" w:cs="宋体"/>
                <w:color w:val="000000"/>
                <w:sz w:val="21"/>
                <w:szCs w:val="21"/>
                <w:lang w:val="en-US" w:eastAsia="zh-CN"/>
              </w:rPr>
              <w:t>5.9×10</w:t>
            </w:r>
            <w:r>
              <w:rPr>
                <w:rFonts w:hint="eastAsia" w:ascii="宋体" w:hAnsi="宋体" w:eastAsia="宋体" w:cs="宋体"/>
                <w:color w:val="000000"/>
                <w:sz w:val="21"/>
                <w:szCs w:val="21"/>
                <w:vertAlign w:val="superscript"/>
                <w:lang w:val="en-US" w:eastAsia="zh-CN"/>
              </w:rPr>
              <w:t>2</w:t>
            </w:r>
          </w:p>
        </w:tc>
        <w:tc>
          <w:tcPr>
            <w:tcW w:w="0" w:type="auto"/>
            <w:shd w:val="clear" w:color="auto" w:fill="auto"/>
            <w:noWrap w:val="0"/>
            <w:vAlign w:val="center"/>
          </w:tcPr>
          <w:p w14:paraId="4786BD90">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5.2×10</w:t>
            </w:r>
            <w:r>
              <w:rPr>
                <w:rFonts w:hint="eastAsia" w:ascii="宋体" w:hAnsi="宋体" w:eastAsia="宋体" w:cs="宋体"/>
                <w:color w:val="000000"/>
                <w:sz w:val="21"/>
                <w:szCs w:val="21"/>
                <w:vertAlign w:val="superscript"/>
                <w:lang w:val="en-US" w:eastAsia="zh-CN"/>
              </w:rPr>
              <w:t>2</w:t>
            </w:r>
          </w:p>
        </w:tc>
        <w:tc>
          <w:tcPr>
            <w:tcW w:w="0" w:type="auto"/>
            <w:shd w:val="clear" w:color="auto" w:fill="auto"/>
            <w:noWrap w:val="0"/>
            <w:vAlign w:val="center"/>
          </w:tcPr>
          <w:p w14:paraId="586B3531">
            <w:pPr>
              <w:keepNext w:val="0"/>
              <w:keepLines w:val="0"/>
              <w:widowControl/>
              <w:suppressLineNumbers w:val="0"/>
              <w:jc w:val="center"/>
              <w:textAlignment w:val="bottom"/>
              <w:rPr>
                <w:rFonts w:hint="eastAsia" w:ascii="宋体" w:hAnsi="宋体" w:eastAsia="宋体" w:cs="宋体"/>
                <w:color w:val="000000"/>
                <w:kern w:val="2"/>
                <w:sz w:val="21"/>
                <w:szCs w:val="21"/>
                <w:vertAlign w:val="superscript"/>
                <w:lang w:val="en-US" w:eastAsia="zh-CN" w:bidi="ar-SA"/>
              </w:rPr>
            </w:pPr>
            <w:r>
              <w:rPr>
                <w:rFonts w:hint="eastAsia" w:ascii="宋体" w:hAnsi="宋体" w:eastAsia="宋体" w:cs="宋体"/>
                <w:color w:val="000000"/>
                <w:sz w:val="21"/>
                <w:szCs w:val="21"/>
                <w:lang w:val="en-US" w:eastAsia="zh-CN"/>
              </w:rPr>
              <w:t>5.4×10</w:t>
            </w:r>
            <w:r>
              <w:rPr>
                <w:rFonts w:hint="eastAsia" w:ascii="宋体" w:hAnsi="宋体" w:eastAsia="宋体" w:cs="宋体"/>
                <w:color w:val="000000"/>
                <w:sz w:val="21"/>
                <w:szCs w:val="21"/>
                <w:vertAlign w:val="superscript"/>
                <w:lang w:val="en-US" w:eastAsia="zh-CN"/>
              </w:rPr>
              <w:t>2</w:t>
            </w:r>
          </w:p>
        </w:tc>
        <w:tc>
          <w:tcPr>
            <w:tcW w:w="0" w:type="auto"/>
            <w:vMerge w:val="continue"/>
            <w:noWrap w:val="0"/>
            <w:vAlign w:val="top"/>
          </w:tcPr>
          <w:p w14:paraId="6F8C2A9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lang w:val="en-US" w:eastAsia="zh-CN"/>
              </w:rPr>
            </w:pPr>
          </w:p>
        </w:tc>
        <w:tc>
          <w:tcPr>
            <w:tcW w:w="0" w:type="auto"/>
            <w:vMerge w:val="continue"/>
            <w:shd w:val="clear" w:color="auto" w:fill="auto"/>
            <w:noWrap w:val="0"/>
            <w:vAlign w:val="center"/>
          </w:tcPr>
          <w:p w14:paraId="160BB5B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lang w:val="en-US" w:eastAsia="zh-CN"/>
              </w:rPr>
            </w:pPr>
          </w:p>
        </w:tc>
        <w:tc>
          <w:tcPr>
            <w:tcW w:w="0" w:type="auto"/>
            <w:shd w:val="clear" w:color="auto" w:fill="auto"/>
            <w:noWrap w:val="0"/>
            <w:vAlign w:val="center"/>
          </w:tcPr>
          <w:p w14:paraId="18BBFE53">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1.7×10</w:t>
            </w:r>
            <w:r>
              <w:rPr>
                <w:rFonts w:hint="eastAsia" w:ascii="宋体" w:hAnsi="宋体" w:eastAsia="宋体" w:cs="宋体"/>
                <w:color w:val="000000"/>
                <w:sz w:val="21"/>
                <w:szCs w:val="21"/>
                <w:vertAlign w:val="superscript"/>
                <w:lang w:val="en-US" w:eastAsia="zh-CN"/>
              </w:rPr>
              <w:t>2</w:t>
            </w:r>
          </w:p>
        </w:tc>
        <w:tc>
          <w:tcPr>
            <w:tcW w:w="0" w:type="auto"/>
            <w:shd w:val="clear" w:color="auto" w:fill="auto"/>
            <w:noWrap w:val="0"/>
            <w:vAlign w:val="center"/>
          </w:tcPr>
          <w:p w14:paraId="1F83CE35">
            <w:pPr>
              <w:keepNext w:val="0"/>
              <w:keepLines w:val="0"/>
              <w:widowControl/>
              <w:suppressLineNumbers w:val="0"/>
              <w:jc w:val="center"/>
              <w:textAlignment w:val="bottom"/>
              <w:rPr>
                <w:rFonts w:hint="eastAsia" w:ascii="宋体" w:hAnsi="宋体" w:eastAsia="宋体" w:cs="宋体"/>
                <w:color w:val="000000"/>
                <w:kern w:val="2"/>
                <w:sz w:val="21"/>
                <w:szCs w:val="21"/>
                <w:vertAlign w:val="superscript"/>
                <w:lang w:val="en-US" w:eastAsia="zh-CN" w:bidi="ar-SA"/>
              </w:rPr>
            </w:pPr>
            <w:r>
              <w:rPr>
                <w:rFonts w:hint="eastAsia" w:ascii="宋体" w:hAnsi="宋体" w:eastAsia="宋体" w:cs="宋体"/>
                <w:color w:val="000000"/>
                <w:sz w:val="21"/>
                <w:szCs w:val="21"/>
                <w:lang w:val="en-US" w:eastAsia="zh-CN"/>
              </w:rPr>
              <w:t>2.1×10</w:t>
            </w:r>
            <w:r>
              <w:rPr>
                <w:rFonts w:hint="eastAsia" w:ascii="宋体" w:hAnsi="宋体" w:eastAsia="宋体" w:cs="宋体"/>
                <w:color w:val="000000"/>
                <w:sz w:val="21"/>
                <w:szCs w:val="21"/>
                <w:vertAlign w:val="superscript"/>
                <w:lang w:val="en-US" w:eastAsia="zh-CN"/>
              </w:rPr>
              <w:t>2</w:t>
            </w:r>
          </w:p>
        </w:tc>
        <w:tc>
          <w:tcPr>
            <w:tcW w:w="0" w:type="auto"/>
            <w:shd w:val="clear" w:color="auto" w:fill="auto"/>
            <w:noWrap w:val="0"/>
            <w:vAlign w:val="center"/>
          </w:tcPr>
          <w:p w14:paraId="7BEF5756">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2.5×10</w:t>
            </w:r>
            <w:r>
              <w:rPr>
                <w:rFonts w:hint="eastAsia" w:ascii="宋体" w:hAnsi="宋体" w:eastAsia="宋体" w:cs="宋体"/>
                <w:color w:val="000000"/>
                <w:sz w:val="21"/>
                <w:szCs w:val="21"/>
                <w:vertAlign w:val="superscript"/>
                <w:lang w:val="en-US" w:eastAsia="zh-CN"/>
              </w:rPr>
              <w:t>2</w:t>
            </w:r>
          </w:p>
        </w:tc>
        <w:tc>
          <w:tcPr>
            <w:tcW w:w="0" w:type="auto"/>
            <w:shd w:val="clear" w:color="auto" w:fill="auto"/>
            <w:noWrap w:val="0"/>
            <w:vAlign w:val="center"/>
          </w:tcPr>
          <w:p w14:paraId="17E7E6C1">
            <w:pPr>
              <w:keepNext w:val="0"/>
              <w:keepLines w:val="0"/>
              <w:widowControl/>
              <w:suppressLineNumbers w:val="0"/>
              <w:jc w:val="center"/>
              <w:textAlignment w:val="bottom"/>
              <w:rPr>
                <w:rFonts w:hint="eastAsia" w:ascii="宋体" w:hAnsi="宋体" w:eastAsia="宋体" w:cs="宋体"/>
                <w:color w:val="000000"/>
                <w:kern w:val="2"/>
                <w:sz w:val="21"/>
                <w:szCs w:val="21"/>
                <w:vertAlign w:val="superscript"/>
                <w:lang w:val="en-US" w:eastAsia="zh-CN" w:bidi="ar-SA"/>
              </w:rPr>
            </w:pPr>
            <w:r>
              <w:rPr>
                <w:rFonts w:hint="eastAsia" w:ascii="宋体" w:hAnsi="宋体" w:eastAsia="宋体" w:cs="宋体"/>
                <w:color w:val="000000"/>
                <w:sz w:val="21"/>
                <w:szCs w:val="21"/>
                <w:lang w:val="en-US" w:eastAsia="zh-CN"/>
              </w:rPr>
              <w:t>2.7×10</w:t>
            </w:r>
            <w:r>
              <w:rPr>
                <w:rFonts w:hint="eastAsia" w:ascii="宋体" w:hAnsi="宋体" w:eastAsia="宋体" w:cs="宋体"/>
                <w:color w:val="000000"/>
                <w:sz w:val="21"/>
                <w:szCs w:val="21"/>
                <w:vertAlign w:val="superscript"/>
                <w:lang w:val="en-US" w:eastAsia="zh-CN"/>
              </w:rPr>
              <w:t>2</w:t>
            </w:r>
          </w:p>
        </w:tc>
      </w:tr>
      <w:tr w14:paraId="784979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0" w:type="auto"/>
            <w:vMerge w:val="continue"/>
            <w:noWrap w:val="0"/>
            <w:vAlign w:val="top"/>
          </w:tcPr>
          <w:p w14:paraId="4EC980E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auto"/>
                <w:sz w:val="21"/>
                <w:szCs w:val="21"/>
              </w:rPr>
            </w:pPr>
          </w:p>
        </w:tc>
        <w:tc>
          <w:tcPr>
            <w:tcW w:w="0" w:type="auto"/>
            <w:shd w:val="clear" w:color="auto" w:fill="auto"/>
            <w:noWrap w:val="0"/>
            <w:vAlign w:val="center"/>
          </w:tcPr>
          <w:p w14:paraId="13217EEC">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氟化物</w:t>
            </w:r>
          </w:p>
        </w:tc>
        <w:tc>
          <w:tcPr>
            <w:tcW w:w="0" w:type="auto"/>
            <w:vMerge w:val="continue"/>
            <w:noWrap w:val="0"/>
            <w:vAlign w:val="top"/>
          </w:tcPr>
          <w:p w14:paraId="2B9922B7">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0" w:type="auto"/>
            <w:vMerge w:val="continue"/>
            <w:noWrap w:val="0"/>
            <w:vAlign w:val="top"/>
          </w:tcPr>
          <w:p w14:paraId="209452C5">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0" w:type="auto"/>
            <w:noWrap w:val="0"/>
            <w:vAlign w:val="top"/>
          </w:tcPr>
          <w:p w14:paraId="7A21DD4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lang w:val="en-US" w:eastAsia="zh-CN"/>
              </w:rPr>
              <w:t>--</w:t>
            </w:r>
          </w:p>
        </w:tc>
        <w:tc>
          <w:tcPr>
            <w:tcW w:w="0" w:type="auto"/>
            <w:noWrap w:val="0"/>
            <w:vAlign w:val="top"/>
          </w:tcPr>
          <w:p w14:paraId="15C32FC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lang w:val="en-US" w:eastAsia="zh-CN"/>
              </w:rPr>
              <w:t>--</w:t>
            </w:r>
          </w:p>
        </w:tc>
        <w:tc>
          <w:tcPr>
            <w:tcW w:w="0" w:type="auto"/>
            <w:noWrap w:val="0"/>
            <w:vAlign w:val="top"/>
          </w:tcPr>
          <w:p w14:paraId="021C6BC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color w:val="000000"/>
                <w:sz w:val="21"/>
                <w:szCs w:val="21"/>
                <w:lang w:val="en-US" w:eastAsia="zh-CN"/>
              </w:rPr>
              <w:t>--</w:t>
            </w:r>
          </w:p>
        </w:tc>
        <w:tc>
          <w:tcPr>
            <w:tcW w:w="0" w:type="auto"/>
            <w:noWrap w:val="0"/>
            <w:vAlign w:val="top"/>
          </w:tcPr>
          <w:p w14:paraId="761A1FC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color w:val="000000"/>
                <w:sz w:val="21"/>
                <w:szCs w:val="21"/>
                <w:lang w:val="en-US" w:eastAsia="zh-CN"/>
              </w:rPr>
              <w:t>--</w:t>
            </w:r>
          </w:p>
        </w:tc>
        <w:tc>
          <w:tcPr>
            <w:tcW w:w="0" w:type="auto"/>
            <w:vMerge w:val="continue"/>
            <w:noWrap w:val="0"/>
            <w:vAlign w:val="top"/>
          </w:tcPr>
          <w:p w14:paraId="6094D39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lang w:val="en-US" w:eastAsia="zh-CN"/>
              </w:rPr>
            </w:pPr>
          </w:p>
        </w:tc>
        <w:tc>
          <w:tcPr>
            <w:tcW w:w="0" w:type="auto"/>
            <w:vMerge w:val="continue"/>
            <w:shd w:val="clear" w:color="auto" w:fill="auto"/>
            <w:noWrap w:val="0"/>
            <w:vAlign w:val="center"/>
          </w:tcPr>
          <w:p w14:paraId="461D08B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sz w:val="21"/>
                <w:szCs w:val="21"/>
                <w:lang w:val="en-US" w:eastAsia="zh-CN"/>
              </w:rPr>
            </w:pPr>
          </w:p>
        </w:tc>
        <w:tc>
          <w:tcPr>
            <w:tcW w:w="0" w:type="auto"/>
            <w:shd w:val="clear" w:color="auto" w:fill="auto"/>
            <w:noWrap w:val="0"/>
            <w:vAlign w:val="center"/>
          </w:tcPr>
          <w:p w14:paraId="7F63F0F0">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1.31</w:t>
            </w:r>
          </w:p>
        </w:tc>
        <w:tc>
          <w:tcPr>
            <w:tcW w:w="0" w:type="auto"/>
            <w:shd w:val="clear" w:color="auto" w:fill="auto"/>
            <w:noWrap w:val="0"/>
            <w:vAlign w:val="center"/>
          </w:tcPr>
          <w:p w14:paraId="06CA9EC1">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1.37</w:t>
            </w:r>
          </w:p>
        </w:tc>
        <w:tc>
          <w:tcPr>
            <w:tcW w:w="0" w:type="auto"/>
            <w:shd w:val="clear" w:color="auto" w:fill="auto"/>
            <w:noWrap w:val="0"/>
            <w:vAlign w:val="center"/>
          </w:tcPr>
          <w:p w14:paraId="7D58C19B">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1.38</w:t>
            </w:r>
          </w:p>
        </w:tc>
        <w:tc>
          <w:tcPr>
            <w:tcW w:w="0" w:type="auto"/>
            <w:shd w:val="clear" w:color="auto" w:fill="auto"/>
            <w:noWrap w:val="0"/>
            <w:vAlign w:val="center"/>
          </w:tcPr>
          <w:p w14:paraId="3FB2D1A4">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1.33</w:t>
            </w:r>
          </w:p>
        </w:tc>
      </w:tr>
    </w:tbl>
    <w:p w14:paraId="350817BB">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FF0000"/>
          <w:kern w:val="0"/>
          <w:sz w:val="24"/>
          <w:szCs w:val="20"/>
          <w:lang w:val="en-US" w:eastAsia="zh-CN" w:bidi="ar-SA"/>
        </w:rPr>
        <w:sectPr>
          <w:pgSz w:w="16838" w:h="11906" w:orient="landscape"/>
          <w:pgMar w:top="1800" w:right="1440" w:bottom="1800" w:left="1440" w:header="1191" w:footer="1020" w:gutter="0"/>
          <w:pgBorders w:offsetFrom="page">
            <w:top w:val="none" w:sz="0" w:space="0"/>
            <w:left w:val="none" w:sz="0" w:space="0"/>
            <w:bottom w:val="none" w:sz="0" w:space="0"/>
            <w:right w:val="none" w:sz="0" w:space="0"/>
          </w:pgBorders>
          <w:pgNumType w:fmt="decimal"/>
          <w:cols w:space="425" w:num="1"/>
          <w:docGrid w:type="lines" w:linePitch="312" w:charSpace="0"/>
        </w:sectPr>
      </w:pPr>
    </w:p>
    <w:p w14:paraId="1E3CD1DB">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pPr>
      <w:r>
        <w:rPr>
          <w:rFonts w:hint="eastAsia" w:asciiTheme="minorEastAsia" w:hAnsiTheme="minorEastAsia" w:eastAsiaTheme="minorEastAsia" w:cstheme="minorEastAsia"/>
          <w:b/>
          <w:bCs/>
          <w:color w:val="000000"/>
          <w:kern w:val="0"/>
          <w:sz w:val="24"/>
          <w:szCs w:val="24"/>
          <w:lang w:val="en-US" w:eastAsia="zh-CN" w:bidi="ar"/>
        </w:rPr>
        <w:t>废水监测结果评价：</w:t>
      </w:r>
    </w:p>
    <w:p w14:paraId="08A06F21">
      <w:pPr>
        <w:keepNext w:val="0"/>
        <w:keepLines w:val="0"/>
        <w:widowControl/>
        <w:suppressLineNumbers w:val="0"/>
        <w:spacing w:line="360" w:lineRule="auto"/>
        <w:ind w:firstLine="480" w:firstLineChars="200"/>
        <w:jc w:val="both"/>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kern w:val="0"/>
          <w:sz w:val="24"/>
          <w:szCs w:val="24"/>
          <w:lang w:val="en-US" w:eastAsia="zh-CN" w:bidi="ar"/>
        </w:rPr>
        <w:t>验收监测结果表明：验收监测期间，项目废水经污水系统处理后，其pH、COD、BOD</w:t>
      </w:r>
      <w:r>
        <w:rPr>
          <w:rFonts w:hint="eastAsia" w:asciiTheme="minorEastAsia" w:hAnsiTheme="minorEastAsia" w:eastAsiaTheme="minorEastAsia" w:cstheme="minorEastAsia"/>
          <w:color w:val="000000"/>
          <w:kern w:val="0"/>
          <w:sz w:val="24"/>
          <w:szCs w:val="24"/>
          <w:vertAlign w:val="subscript"/>
          <w:lang w:val="en-US" w:eastAsia="zh-CN" w:bidi="ar"/>
        </w:rPr>
        <w:t>5</w:t>
      </w:r>
      <w:r>
        <w:rPr>
          <w:rFonts w:hint="eastAsia" w:asciiTheme="minorEastAsia" w:hAnsiTheme="minorEastAsia" w:eastAsiaTheme="minorEastAsia" w:cstheme="minorEastAsia"/>
          <w:color w:val="000000"/>
          <w:kern w:val="0"/>
          <w:sz w:val="24"/>
          <w:szCs w:val="24"/>
          <w:lang w:val="en-US" w:eastAsia="zh-CN" w:bidi="ar"/>
        </w:rPr>
        <w:t>、SS、NH</w:t>
      </w:r>
      <w:r>
        <w:rPr>
          <w:rFonts w:hint="eastAsia" w:asciiTheme="minorEastAsia" w:hAnsiTheme="minorEastAsia" w:eastAsiaTheme="minorEastAsia" w:cstheme="minorEastAsia"/>
          <w:color w:val="000000"/>
          <w:kern w:val="0"/>
          <w:sz w:val="24"/>
          <w:szCs w:val="24"/>
          <w:vertAlign w:val="subscript"/>
          <w:lang w:val="en-US" w:eastAsia="zh-CN" w:bidi="ar"/>
        </w:rPr>
        <w:t>3</w:t>
      </w:r>
      <w:r>
        <w:rPr>
          <w:rFonts w:hint="eastAsia" w:asciiTheme="minorEastAsia" w:hAnsiTheme="minorEastAsia" w:eastAsiaTheme="minorEastAsia" w:cstheme="minorEastAsia"/>
          <w:color w:val="000000"/>
          <w:kern w:val="0"/>
          <w:sz w:val="24"/>
          <w:szCs w:val="24"/>
          <w:lang w:val="en-US" w:eastAsia="zh-CN" w:bidi="ar"/>
        </w:rPr>
        <w:t>-N、粪大肠菌群数、动植物油、石油类、总磷、总氮、氟化物排放浓度日均值均满足《城镇污水处理厂污染物排放标准》（GB18918-2002）</w:t>
      </w:r>
      <w:r>
        <w:rPr>
          <w:rFonts w:hint="eastAsia" w:asciiTheme="minorEastAsia" w:hAnsiTheme="minorEastAsia" w:eastAsiaTheme="minorEastAsia" w:cstheme="minorEastAsia"/>
          <w:color w:val="000000" w:themeColor="text1"/>
          <w:kern w:val="0"/>
          <w:sz w:val="24"/>
          <w:szCs w:val="24"/>
          <w:lang w:val="en-US" w:eastAsia="zh-CN" w:bidi="ar"/>
          <w14:textFill>
            <w14:solidFill>
              <w14:schemeClr w14:val="tx1"/>
            </w14:solidFill>
          </w14:textFill>
        </w:rPr>
        <w:t>一级标准中的 A 标准限值要求。</w:t>
      </w:r>
    </w:p>
    <w:p w14:paraId="229784DD">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1"/>
        <w:rPr>
          <w:rFonts w:hint="eastAsia" w:ascii="宋体" w:hAnsi="宋体" w:eastAsia="宋体" w:cs="宋体"/>
          <w:b/>
          <w:bCs/>
          <w:color w:val="000000" w:themeColor="text1"/>
          <w:kern w:val="0"/>
          <w:sz w:val="28"/>
          <w:szCs w:val="28"/>
          <w:lang w:val="en-US" w:eastAsia="zh-CN" w:bidi="ar"/>
          <w14:textFill>
            <w14:solidFill>
              <w14:schemeClr w14:val="tx1"/>
            </w14:solidFill>
          </w14:textFill>
        </w:rPr>
      </w:pPr>
      <w:bookmarkStart w:id="72" w:name="_Toc19913"/>
      <w:r>
        <w:rPr>
          <w:rFonts w:hint="eastAsia" w:ascii="宋体" w:hAnsi="宋体" w:eastAsia="宋体" w:cs="宋体"/>
          <w:b/>
          <w:bCs/>
          <w:color w:val="000000" w:themeColor="text1"/>
          <w:kern w:val="0"/>
          <w:sz w:val="28"/>
          <w:szCs w:val="28"/>
          <w:lang w:val="en-US" w:eastAsia="zh-CN" w:bidi="ar"/>
          <w14:textFill>
            <w14:solidFill>
              <w14:schemeClr w14:val="tx1"/>
            </w14:solidFill>
          </w14:textFill>
        </w:rPr>
        <w:t>9.4  地下水</w:t>
      </w:r>
      <w:bookmarkEnd w:id="72"/>
    </w:p>
    <w:p w14:paraId="075D29A7">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000000" w:themeColor="text1"/>
          <w:kern w:val="0"/>
          <w:sz w:val="24"/>
          <w:szCs w:val="20"/>
          <w:lang w:val="en-US" w:eastAsia="zh-CN" w:bidi="ar-SA"/>
          <w14:textFill>
            <w14:solidFill>
              <w14:schemeClr w14:val="tx1"/>
            </w14:solidFill>
          </w14:textFill>
        </w:rPr>
      </w:pPr>
      <w:r>
        <w:rPr>
          <w:rFonts w:hint="eastAsia" w:ascii="宋体" w:hAnsi="宋体" w:eastAsia="宋体" w:cs="宋体"/>
          <w:color w:val="000000" w:themeColor="text1"/>
          <w:kern w:val="0"/>
          <w:sz w:val="24"/>
          <w:szCs w:val="20"/>
          <w:lang w:val="en-US" w:eastAsia="zh-CN" w:bidi="ar-SA"/>
          <w14:textFill>
            <w14:solidFill>
              <w14:schemeClr w14:val="tx1"/>
            </w14:solidFill>
          </w14:textFill>
        </w:rPr>
        <w:t>项目于2025年2月</w:t>
      </w:r>
      <w:r>
        <w:rPr>
          <w:rFonts w:hint="eastAsia" w:ascii="宋体" w:hAnsi="宋体" w:cs="宋体"/>
          <w:color w:val="000000" w:themeColor="text1"/>
          <w:kern w:val="0"/>
          <w:sz w:val="24"/>
          <w:szCs w:val="20"/>
          <w:lang w:val="en-US" w:eastAsia="zh-CN" w:bidi="ar-SA"/>
          <w14:textFill>
            <w14:solidFill>
              <w14:schemeClr w14:val="tx1"/>
            </w14:solidFill>
          </w14:textFill>
        </w:rPr>
        <w:t>13</w:t>
      </w:r>
      <w:r>
        <w:rPr>
          <w:rFonts w:hint="eastAsia" w:ascii="宋体" w:hAnsi="宋体" w:eastAsia="宋体" w:cs="宋体"/>
          <w:color w:val="000000" w:themeColor="text1"/>
          <w:kern w:val="0"/>
          <w:sz w:val="24"/>
          <w:szCs w:val="20"/>
          <w:lang w:val="en-US" w:eastAsia="zh-CN" w:bidi="ar-SA"/>
          <w14:textFill>
            <w14:solidFill>
              <w14:schemeClr w14:val="tx1"/>
            </w14:solidFill>
          </w14:textFill>
        </w:rPr>
        <w:t>日、</w:t>
      </w:r>
      <w:r>
        <w:rPr>
          <w:rFonts w:hint="eastAsia" w:ascii="宋体" w:hAnsi="宋体" w:cs="宋体"/>
          <w:color w:val="000000" w:themeColor="text1"/>
          <w:kern w:val="0"/>
          <w:sz w:val="24"/>
          <w:szCs w:val="20"/>
          <w:lang w:val="en-US" w:eastAsia="zh-CN" w:bidi="ar-SA"/>
          <w14:textFill>
            <w14:solidFill>
              <w14:schemeClr w14:val="tx1"/>
            </w14:solidFill>
          </w14:textFill>
        </w:rPr>
        <w:t>14</w:t>
      </w:r>
      <w:r>
        <w:rPr>
          <w:rFonts w:hint="eastAsia" w:ascii="宋体" w:hAnsi="宋体" w:eastAsia="宋体" w:cs="宋体"/>
          <w:color w:val="000000" w:themeColor="text1"/>
          <w:kern w:val="0"/>
          <w:sz w:val="24"/>
          <w:szCs w:val="20"/>
          <w:lang w:val="en-US" w:eastAsia="zh-CN" w:bidi="ar-SA"/>
          <w14:textFill>
            <w14:solidFill>
              <w14:schemeClr w14:val="tx1"/>
            </w14:solidFill>
          </w14:textFill>
        </w:rPr>
        <w:t>日两天对厂区的地下水水质进行监测，监测结果见表9</w:t>
      </w:r>
      <w:r>
        <w:rPr>
          <w:rFonts w:hint="eastAsia" w:ascii="宋体" w:hAnsi="宋体" w:cs="宋体"/>
          <w:color w:val="000000" w:themeColor="text1"/>
          <w:kern w:val="0"/>
          <w:sz w:val="24"/>
          <w:szCs w:val="20"/>
          <w:lang w:val="en-US" w:eastAsia="zh-CN" w:bidi="ar-SA"/>
          <w14:textFill>
            <w14:solidFill>
              <w14:schemeClr w14:val="tx1"/>
            </w14:solidFill>
          </w14:textFill>
        </w:rPr>
        <w:t>.4-1</w:t>
      </w:r>
      <w:r>
        <w:rPr>
          <w:rFonts w:hint="eastAsia" w:ascii="宋体" w:hAnsi="宋体" w:eastAsia="宋体" w:cs="宋体"/>
          <w:color w:val="000000" w:themeColor="text1"/>
          <w:kern w:val="0"/>
          <w:sz w:val="24"/>
          <w:szCs w:val="20"/>
          <w:lang w:val="en-US" w:eastAsia="zh-CN" w:bidi="ar-SA"/>
          <w14:textFill>
            <w14:solidFill>
              <w14:schemeClr w14:val="tx1"/>
            </w14:solidFill>
          </w14:textFill>
        </w:rPr>
        <w:t>。</w:t>
      </w:r>
    </w:p>
    <w:p w14:paraId="1750C4B0">
      <w:pPr>
        <w:jc w:val="center"/>
        <w:rPr>
          <w:rFonts w:hint="eastAsia" w:ascii="宋体" w:hAnsi="宋体" w:eastAsia="宋体" w:cs="宋体"/>
          <w:b/>
          <w:bCs/>
          <w:lang w:val="en-US" w:eastAsia="zh-CN"/>
        </w:rPr>
      </w:pPr>
      <w:r>
        <w:rPr>
          <w:rFonts w:hint="eastAsia" w:ascii="宋体" w:hAnsi="宋体" w:eastAsia="宋体" w:cs="宋体"/>
          <w:b/>
          <w:bCs/>
        </w:rPr>
        <w:t>表</w:t>
      </w:r>
      <w:r>
        <w:rPr>
          <w:rFonts w:hint="eastAsia" w:ascii="宋体" w:hAnsi="宋体" w:eastAsia="宋体" w:cs="宋体"/>
          <w:b/>
          <w:bCs/>
          <w:lang w:val="en-US" w:eastAsia="zh-CN"/>
        </w:rPr>
        <w:t>9.4-1</w:t>
      </w:r>
      <w:r>
        <w:rPr>
          <w:rFonts w:hint="eastAsia" w:ascii="宋体" w:hAnsi="宋体" w:eastAsia="宋体" w:cs="宋体"/>
          <w:b/>
          <w:bCs/>
        </w:rPr>
        <w:t xml:space="preserve">  </w:t>
      </w:r>
      <w:r>
        <w:rPr>
          <w:rFonts w:hint="eastAsia" w:ascii="宋体" w:hAnsi="宋体" w:eastAsia="宋体" w:cs="宋体"/>
          <w:b/>
          <w:bCs/>
          <w:lang w:val="en-US" w:eastAsia="zh-CN"/>
        </w:rPr>
        <w:t>厂区地下水</w:t>
      </w:r>
      <w:r>
        <w:rPr>
          <w:rFonts w:hint="eastAsia" w:ascii="宋体" w:hAnsi="宋体" w:eastAsia="宋体" w:cs="宋体"/>
          <w:b/>
          <w:bCs/>
          <w:lang w:eastAsia="zh-CN"/>
        </w:rPr>
        <w:t>检测</w:t>
      </w:r>
      <w:r>
        <w:rPr>
          <w:rFonts w:hint="eastAsia" w:ascii="宋体" w:hAnsi="宋体" w:eastAsia="宋体" w:cs="宋体"/>
          <w:b/>
          <w:bCs/>
        </w:rPr>
        <w:t>结果</w:t>
      </w:r>
    </w:p>
    <w:tbl>
      <w:tblPr>
        <w:tblStyle w:val="1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16"/>
        <w:gridCol w:w="861"/>
        <w:gridCol w:w="691"/>
        <w:gridCol w:w="2348"/>
        <w:gridCol w:w="1696"/>
        <w:gridCol w:w="1607"/>
      </w:tblGrid>
      <w:tr w14:paraId="1A99D7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2" w:type="pct"/>
            <w:vMerge w:val="restart"/>
            <w:tcBorders>
              <w:tl2br w:val="nil"/>
              <w:tr2bl w:val="nil"/>
            </w:tcBorders>
            <w:noWrap w:val="0"/>
            <w:vAlign w:val="center"/>
          </w:tcPr>
          <w:p w14:paraId="35068BE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采样日期</w:t>
            </w:r>
          </w:p>
        </w:tc>
        <w:tc>
          <w:tcPr>
            <w:tcW w:w="505" w:type="pct"/>
            <w:vMerge w:val="restart"/>
            <w:tcBorders>
              <w:tl2br w:val="nil"/>
              <w:tr2bl w:val="nil"/>
            </w:tcBorders>
            <w:noWrap w:val="0"/>
            <w:vAlign w:val="center"/>
          </w:tcPr>
          <w:p w14:paraId="41E9253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采样点</w:t>
            </w:r>
          </w:p>
        </w:tc>
        <w:tc>
          <w:tcPr>
            <w:tcW w:w="405" w:type="pct"/>
            <w:vMerge w:val="restart"/>
            <w:tcBorders>
              <w:tl2br w:val="nil"/>
              <w:tr2bl w:val="nil"/>
            </w:tcBorders>
            <w:noWrap w:val="0"/>
            <w:vAlign w:val="center"/>
          </w:tcPr>
          <w:p w14:paraId="44B3106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样品状态</w:t>
            </w:r>
          </w:p>
        </w:tc>
        <w:tc>
          <w:tcPr>
            <w:tcW w:w="1378" w:type="pct"/>
            <w:vMerge w:val="restart"/>
            <w:tcBorders>
              <w:tl2br w:val="nil"/>
              <w:tr2bl w:val="nil"/>
            </w:tcBorders>
            <w:noWrap w:val="0"/>
            <w:vAlign w:val="center"/>
          </w:tcPr>
          <w:p w14:paraId="726FC65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检测项目</w:t>
            </w:r>
          </w:p>
        </w:tc>
        <w:tc>
          <w:tcPr>
            <w:tcW w:w="1938" w:type="pct"/>
            <w:gridSpan w:val="2"/>
            <w:tcBorders>
              <w:tl2br w:val="nil"/>
              <w:tr2bl w:val="nil"/>
            </w:tcBorders>
            <w:noWrap w:val="0"/>
            <w:vAlign w:val="center"/>
          </w:tcPr>
          <w:p w14:paraId="329AC7C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检测结果（mg/L，pH无量纲）</w:t>
            </w:r>
          </w:p>
        </w:tc>
      </w:tr>
      <w:tr w14:paraId="143507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2" w:type="pct"/>
            <w:vMerge w:val="continue"/>
            <w:tcBorders>
              <w:tl2br w:val="nil"/>
              <w:tr2bl w:val="nil"/>
            </w:tcBorders>
            <w:noWrap w:val="0"/>
            <w:vAlign w:val="center"/>
          </w:tcPr>
          <w:p w14:paraId="1019E87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p>
        </w:tc>
        <w:tc>
          <w:tcPr>
            <w:tcW w:w="505" w:type="pct"/>
            <w:vMerge w:val="continue"/>
            <w:tcBorders>
              <w:tl2br w:val="nil"/>
              <w:tr2bl w:val="nil"/>
            </w:tcBorders>
            <w:noWrap w:val="0"/>
            <w:vAlign w:val="center"/>
          </w:tcPr>
          <w:p w14:paraId="6ED49BC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p>
        </w:tc>
        <w:tc>
          <w:tcPr>
            <w:tcW w:w="405" w:type="pct"/>
            <w:vMerge w:val="continue"/>
            <w:tcBorders>
              <w:tl2br w:val="nil"/>
              <w:tr2bl w:val="nil"/>
            </w:tcBorders>
            <w:noWrap w:val="0"/>
            <w:vAlign w:val="center"/>
          </w:tcPr>
          <w:p w14:paraId="6D6167A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p>
        </w:tc>
        <w:tc>
          <w:tcPr>
            <w:tcW w:w="1378" w:type="pct"/>
            <w:vMerge w:val="continue"/>
            <w:tcBorders>
              <w:tl2br w:val="nil"/>
              <w:tr2bl w:val="nil"/>
            </w:tcBorders>
            <w:noWrap w:val="0"/>
            <w:vAlign w:val="center"/>
          </w:tcPr>
          <w:p w14:paraId="25114D9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p>
        </w:tc>
        <w:tc>
          <w:tcPr>
            <w:tcW w:w="995" w:type="pct"/>
            <w:tcBorders>
              <w:tl2br w:val="nil"/>
              <w:tr2bl w:val="nil"/>
            </w:tcBorders>
            <w:noWrap w:val="0"/>
            <w:vAlign w:val="center"/>
          </w:tcPr>
          <w:p w14:paraId="59CDD8A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第一次</w:t>
            </w:r>
          </w:p>
        </w:tc>
        <w:tc>
          <w:tcPr>
            <w:tcW w:w="943" w:type="pct"/>
            <w:tcBorders>
              <w:tl2br w:val="nil"/>
              <w:tr2bl w:val="nil"/>
            </w:tcBorders>
            <w:noWrap w:val="0"/>
            <w:vAlign w:val="center"/>
          </w:tcPr>
          <w:p w14:paraId="59E4BDC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第二次</w:t>
            </w:r>
          </w:p>
        </w:tc>
      </w:tr>
      <w:tr w14:paraId="11EDFE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2" w:type="pct"/>
            <w:vMerge w:val="restart"/>
            <w:tcBorders>
              <w:tl2br w:val="nil"/>
              <w:tr2bl w:val="nil"/>
            </w:tcBorders>
            <w:noWrap w:val="0"/>
            <w:vAlign w:val="center"/>
          </w:tcPr>
          <w:p w14:paraId="3B0D80A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2025-02-13</w:t>
            </w:r>
          </w:p>
        </w:tc>
        <w:tc>
          <w:tcPr>
            <w:tcW w:w="505" w:type="pct"/>
            <w:vMerge w:val="restart"/>
            <w:tcBorders>
              <w:tl2br w:val="nil"/>
              <w:tr2bl w:val="nil"/>
            </w:tcBorders>
            <w:noWrap w:val="0"/>
            <w:vAlign w:val="center"/>
          </w:tcPr>
          <w:p w14:paraId="565841C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厂区内地下水井</w:t>
            </w:r>
          </w:p>
        </w:tc>
        <w:tc>
          <w:tcPr>
            <w:tcW w:w="405" w:type="pct"/>
            <w:vMerge w:val="restart"/>
            <w:tcBorders>
              <w:tl2br w:val="nil"/>
              <w:tr2bl w:val="nil"/>
            </w:tcBorders>
            <w:noWrap w:val="0"/>
            <w:vAlign w:val="center"/>
          </w:tcPr>
          <w:p w14:paraId="4A3E9AC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b w:val="0"/>
                <w:bCs w:val="0"/>
                <w:color w:val="000000"/>
                <w:sz w:val="21"/>
                <w:szCs w:val="21"/>
                <w:lang w:val="en-US" w:eastAsia="zh-CN"/>
              </w:rPr>
              <w:t>清</w:t>
            </w:r>
          </w:p>
        </w:tc>
        <w:tc>
          <w:tcPr>
            <w:tcW w:w="1378" w:type="pct"/>
            <w:tcBorders>
              <w:tl2br w:val="nil"/>
              <w:tr2bl w:val="nil"/>
            </w:tcBorders>
            <w:shd w:val="clear" w:color="auto" w:fill="auto"/>
            <w:noWrap w:val="0"/>
            <w:vAlign w:val="center"/>
          </w:tcPr>
          <w:p w14:paraId="5180AFF7">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氨氮</w:t>
            </w:r>
          </w:p>
        </w:tc>
        <w:tc>
          <w:tcPr>
            <w:tcW w:w="995" w:type="pct"/>
            <w:tcBorders>
              <w:tl2br w:val="nil"/>
              <w:tr2bl w:val="nil"/>
            </w:tcBorders>
            <w:shd w:val="clear" w:color="auto" w:fill="auto"/>
            <w:noWrap w:val="0"/>
            <w:vAlign w:val="center"/>
          </w:tcPr>
          <w:p w14:paraId="0AB8EAD2">
            <w:pPr>
              <w:keepNext w:val="0"/>
              <w:keepLines w:val="0"/>
              <w:widowControl/>
              <w:suppressLineNumbers w:val="0"/>
              <w:jc w:val="center"/>
              <w:textAlignment w:val="bottom"/>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0.478</w:t>
            </w:r>
          </w:p>
        </w:tc>
        <w:tc>
          <w:tcPr>
            <w:tcW w:w="943" w:type="pct"/>
            <w:tcBorders>
              <w:tl2br w:val="nil"/>
              <w:tr2bl w:val="nil"/>
            </w:tcBorders>
            <w:shd w:val="clear" w:color="auto" w:fill="auto"/>
            <w:noWrap w:val="0"/>
            <w:vAlign w:val="center"/>
          </w:tcPr>
          <w:p w14:paraId="777D8364">
            <w:pPr>
              <w:keepNext w:val="0"/>
              <w:keepLines w:val="0"/>
              <w:widowControl/>
              <w:suppressLineNumbers w:val="0"/>
              <w:jc w:val="center"/>
              <w:textAlignment w:val="bottom"/>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0.416</w:t>
            </w:r>
          </w:p>
        </w:tc>
      </w:tr>
      <w:tr w14:paraId="5D4CCB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2" w:type="pct"/>
            <w:vMerge w:val="continue"/>
            <w:tcBorders>
              <w:tl2br w:val="nil"/>
              <w:tr2bl w:val="nil"/>
            </w:tcBorders>
            <w:noWrap w:val="0"/>
            <w:vAlign w:val="center"/>
          </w:tcPr>
          <w:p w14:paraId="24112D0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auto"/>
                <w:sz w:val="21"/>
                <w:szCs w:val="21"/>
              </w:rPr>
            </w:pPr>
          </w:p>
        </w:tc>
        <w:tc>
          <w:tcPr>
            <w:tcW w:w="505" w:type="pct"/>
            <w:vMerge w:val="continue"/>
            <w:tcBorders>
              <w:tl2br w:val="nil"/>
              <w:tr2bl w:val="nil"/>
            </w:tcBorders>
            <w:noWrap w:val="0"/>
            <w:vAlign w:val="center"/>
          </w:tcPr>
          <w:p w14:paraId="1C898E6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auto"/>
                <w:sz w:val="21"/>
                <w:szCs w:val="21"/>
              </w:rPr>
            </w:pPr>
          </w:p>
        </w:tc>
        <w:tc>
          <w:tcPr>
            <w:tcW w:w="405" w:type="pct"/>
            <w:vMerge w:val="continue"/>
            <w:tcBorders>
              <w:tl2br w:val="nil"/>
              <w:tr2bl w:val="nil"/>
            </w:tcBorders>
            <w:noWrap w:val="0"/>
            <w:vAlign w:val="center"/>
          </w:tcPr>
          <w:p w14:paraId="6BD270C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auto"/>
                <w:sz w:val="21"/>
                <w:szCs w:val="21"/>
              </w:rPr>
            </w:pPr>
          </w:p>
        </w:tc>
        <w:tc>
          <w:tcPr>
            <w:tcW w:w="1378" w:type="pct"/>
            <w:tcBorders>
              <w:tl2br w:val="nil"/>
              <w:tr2bl w:val="nil"/>
            </w:tcBorders>
            <w:shd w:val="clear" w:color="auto" w:fill="auto"/>
            <w:noWrap w:val="0"/>
            <w:vAlign w:val="center"/>
          </w:tcPr>
          <w:p w14:paraId="60ABCDBF">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硝酸盐氮</w:t>
            </w:r>
          </w:p>
        </w:tc>
        <w:tc>
          <w:tcPr>
            <w:tcW w:w="995" w:type="pct"/>
            <w:tcBorders>
              <w:tl2br w:val="nil"/>
              <w:tr2bl w:val="nil"/>
            </w:tcBorders>
            <w:shd w:val="clear" w:color="auto" w:fill="auto"/>
            <w:noWrap w:val="0"/>
            <w:vAlign w:val="center"/>
          </w:tcPr>
          <w:p w14:paraId="01A054DB">
            <w:pPr>
              <w:keepNext w:val="0"/>
              <w:keepLines w:val="0"/>
              <w:widowControl/>
              <w:suppressLineNumbers w:val="0"/>
              <w:jc w:val="center"/>
              <w:textAlignment w:val="bottom"/>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15.4</w:t>
            </w:r>
          </w:p>
        </w:tc>
        <w:tc>
          <w:tcPr>
            <w:tcW w:w="943" w:type="pct"/>
            <w:tcBorders>
              <w:tl2br w:val="nil"/>
              <w:tr2bl w:val="nil"/>
            </w:tcBorders>
            <w:shd w:val="clear" w:color="auto" w:fill="auto"/>
            <w:noWrap w:val="0"/>
            <w:vAlign w:val="center"/>
          </w:tcPr>
          <w:p w14:paraId="2D665DDB">
            <w:pPr>
              <w:keepNext w:val="0"/>
              <w:keepLines w:val="0"/>
              <w:widowControl/>
              <w:suppressLineNumbers w:val="0"/>
              <w:jc w:val="center"/>
              <w:textAlignment w:val="bottom"/>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14.6</w:t>
            </w:r>
          </w:p>
        </w:tc>
      </w:tr>
      <w:tr w14:paraId="3F674A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2" w:type="pct"/>
            <w:vMerge w:val="continue"/>
            <w:tcBorders>
              <w:tl2br w:val="nil"/>
              <w:tr2bl w:val="nil"/>
            </w:tcBorders>
            <w:noWrap w:val="0"/>
            <w:vAlign w:val="center"/>
          </w:tcPr>
          <w:p w14:paraId="34B1356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auto"/>
                <w:sz w:val="21"/>
                <w:szCs w:val="21"/>
              </w:rPr>
            </w:pPr>
          </w:p>
        </w:tc>
        <w:tc>
          <w:tcPr>
            <w:tcW w:w="505" w:type="pct"/>
            <w:vMerge w:val="continue"/>
            <w:tcBorders>
              <w:tl2br w:val="nil"/>
              <w:tr2bl w:val="nil"/>
            </w:tcBorders>
            <w:noWrap w:val="0"/>
            <w:vAlign w:val="center"/>
          </w:tcPr>
          <w:p w14:paraId="514AC100">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405" w:type="pct"/>
            <w:vMerge w:val="continue"/>
            <w:tcBorders>
              <w:tl2br w:val="nil"/>
              <w:tr2bl w:val="nil"/>
            </w:tcBorders>
            <w:noWrap w:val="0"/>
            <w:vAlign w:val="center"/>
          </w:tcPr>
          <w:p w14:paraId="6AB9579B">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1378" w:type="pct"/>
            <w:tcBorders>
              <w:tl2br w:val="nil"/>
              <w:tr2bl w:val="nil"/>
            </w:tcBorders>
            <w:shd w:val="clear" w:color="auto" w:fill="auto"/>
            <w:noWrap w:val="0"/>
            <w:vAlign w:val="center"/>
          </w:tcPr>
          <w:p w14:paraId="64F60355">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总硬度</w:t>
            </w:r>
          </w:p>
        </w:tc>
        <w:tc>
          <w:tcPr>
            <w:tcW w:w="995" w:type="pct"/>
            <w:tcBorders>
              <w:tl2br w:val="nil"/>
              <w:tr2bl w:val="nil"/>
            </w:tcBorders>
            <w:shd w:val="clear" w:color="auto" w:fill="auto"/>
            <w:noWrap w:val="0"/>
            <w:vAlign w:val="center"/>
          </w:tcPr>
          <w:p w14:paraId="6098481A">
            <w:pPr>
              <w:keepNext w:val="0"/>
              <w:keepLines w:val="0"/>
              <w:widowControl/>
              <w:suppressLineNumbers w:val="0"/>
              <w:jc w:val="center"/>
              <w:textAlignment w:val="bottom"/>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48</w:t>
            </w:r>
          </w:p>
        </w:tc>
        <w:tc>
          <w:tcPr>
            <w:tcW w:w="943" w:type="pct"/>
            <w:tcBorders>
              <w:tl2br w:val="nil"/>
              <w:tr2bl w:val="nil"/>
            </w:tcBorders>
            <w:shd w:val="clear" w:color="auto" w:fill="auto"/>
            <w:noWrap w:val="0"/>
            <w:vAlign w:val="center"/>
          </w:tcPr>
          <w:p w14:paraId="071ECEAD">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44</w:t>
            </w:r>
          </w:p>
        </w:tc>
      </w:tr>
      <w:tr w14:paraId="499597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2" w:type="pct"/>
            <w:vMerge w:val="continue"/>
            <w:tcBorders>
              <w:tl2br w:val="nil"/>
              <w:tr2bl w:val="nil"/>
            </w:tcBorders>
            <w:noWrap w:val="0"/>
            <w:vAlign w:val="center"/>
          </w:tcPr>
          <w:p w14:paraId="5AD9E69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auto"/>
                <w:sz w:val="21"/>
                <w:szCs w:val="21"/>
              </w:rPr>
            </w:pPr>
          </w:p>
        </w:tc>
        <w:tc>
          <w:tcPr>
            <w:tcW w:w="505" w:type="pct"/>
            <w:vMerge w:val="continue"/>
            <w:tcBorders>
              <w:tl2br w:val="nil"/>
              <w:tr2bl w:val="nil"/>
            </w:tcBorders>
            <w:noWrap w:val="0"/>
            <w:vAlign w:val="center"/>
          </w:tcPr>
          <w:p w14:paraId="2549CD17">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405" w:type="pct"/>
            <w:vMerge w:val="continue"/>
            <w:tcBorders>
              <w:tl2br w:val="nil"/>
              <w:tr2bl w:val="nil"/>
            </w:tcBorders>
            <w:noWrap w:val="0"/>
            <w:vAlign w:val="center"/>
          </w:tcPr>
          <w:p w14:paraId="74E15DA9">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1378" w:type="pct"/>
            <w:tcBorders>
              <w:tl2br w:val="nil"/>
              <w:tr2bl w:val="nil"/>
            </w:tcBorders>
            <w:shd w:val="clear" w:color="auto" w:fill="auto"/>
            <w:noWrap w:val="0"/>
            <w:vAlign w:val="center"/>
          </w:tcPr>
          <w:p w14:paraId="5A10D701">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溶解性总固体</w:t>
            </w:r>
          </w:p>
        </w:tc>
        <w:tc>
          <w:tcPr>
            <w:tcW w:w="995" w:type="pct"/>
            <w:tcBorders>
              <w:tl2br w:val="nil"/>
              <w:tr2bl w:val="nil"/>
            </w:tcBorders>
            <w:shd w:val="clear" w:color="auto" w:fill="auto"/>
            <w:noWrap w:val="0"/>
            <w:vAlign w:val="center"/>
          </w:tcPr>
          <w:p w14:paraId="302D026F">
            <w:pPr>
              <w:keepNext w:val="0"/>
              <w:keepLines w:val="0"/>
              <w:widowControl/>
              <w:suppressLineNumbers w:val="0"/>
              <w:jc w:val="center"/>
              <w:textAlignment w:val="bottom"/>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328</w:t>
            </w:r>
          </w:p>
        </w:tc>
        <w:tc>
          <w:tcPr>
            <w:tcW w:w="943" w:type="pct"/>
            <w:tcBorders>
              <w:tl2br w:val="nil"/>
              <w:tr2bl w:val="nil"/>
            </w:tcBorders>
            <w:shd w:val="clear" w:color="auto" w:fill="auto"/>
            <w:noWrap w:val="0"/>
            <w:vAlign w:val="center"/>
          </w:tcPr>
          <w:p w14:paraId="315CE473">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330</w:t>
            </w:r>
          </w:p>
        </w:tc>
      </w:tr>
      <w:tr w14:paraId="1E3B4F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2" w:type="pct"/>
            <w:vMerge w:val="continue"/>
            <w:tcBorders>
              <w:tl2br w:val="nil"/>
              <w:tr2bl w:val="nil"/>
            </w:tcBorders>
            <w:noWrap w:val="0"/>
            <w:vAlign w:val="center"/>
          </w:tcPr>
          <w:p w14:paraId="7E974BC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auto"/>
                <w:sz w:val="21"/>
                <w:szCs w:val="21"/>
              </w:rPr>
            </w:pPr>
          </w:p>
        </w:tc>
        <w:tc>
          <w:tcPr>
            <w:tcW w:w="505" w:type="pct"/>
            <w:vMerge w:val="continue"/>
            <w:tcBorders>
              <w:tl2br w:val="nil"/>
              <w:tr2bl w:val="nil"/>
            </w:tcBorders>
            <w:noWrap w:val="0"/>
            <w:vAlign w:val="center"/>
          </w:tcPr>
          <w:p w14:paraId="3E9916A5">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405" w:type="pct"/>
            <w:vMerge w:val="continue"/>
            <w:tcBorders>
              <w:tl2br w:val="nil"/>
              <w:tr2bl w:val="nil"/>
            </w:tcBorders>
            <w:noWrap w:val="0"/>
            <w:vAlign w:val="center"/>
          </w:tcPr>
          <w:p w14:paraId="4558C3C7">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1378" w:type="pct"/>
            <w:tcBorders>
              <w:tl2br w:val="nil"/>
              <w:tr2bl w:val="nil"/>
            </w:tcBorders>
            <w:shd w:val="clear" w:color="auto" w:fill="auto"/>
            <w:noWrap w:val="0"/>
            <w:vAlign w:val="center"/>
          </w:tcPr>
          <w:p w14:paraId="6CFB6971">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高锰酸盐指数</w:t>
            </w:r>
          </w:p>
        </w:tc>
        <w:tc>
          <w:tcPr>
            <w:tcW w:w="995" w:type="pct"/>
            <w:tcBorders>
              <w:tl2br w:val="nil"/>
              <w:tr2bl w:val="nil"/>
            </w:tcBorders>
            <w:shd w:val="clear" w:color="auto" w:fill="auto"/>
            <w:noWrap w:val="0"/>
            <w:vAlign w:val="center"/>
          </w:tcPr>
          <w:p w14:paraId="338D2B08">
            <w:pPr>
              <w:keepNext w:val="0"/>
              <w:keepLines w:val="0"/>
              <w:widowControl/>
              <w:suppressLineNumbers w:val="0"/>
              <w:jc w:val="center"/>
              <w:textAlignment w:val="bottom"/>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kern w:val="2"/>
                <w:sz w:val="21"/>
                <w:szCs w:val="21"/>
                <w:vertAlign w:val="baseline"/>
                <w:lang w:val="en-US" w:eastAsia="zh-CN" w:bidi="ar-SA"/>
              </w:rPr>
              <w:t>1.8</w:t>
            </w:r>
          </w:p>
        </w:tc>
        <w:tc>
          <w:tcPr>
            <w:tcW w:w="943" w:type="pct"/>
            <w:tcBorders>
              <w:tl2br w:val="nil"/>
              <w:tr2bl w:val="nil"/>
            </w:tcBorders>
            <w:shd w:val="clear" w:color="auto" w:fill="auto"/>
            <w:noWrap w:val="0"/>
            <w:vAlign w:val="center"/>
          </w:tcPr>
          <w:p w14:paraId="748C10FF">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1.8</w:t>
            </w:r>
          </w:p>
        </w:tc>
      </w:tr>
      <w:tr w14:paraId="48DEA8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2" w:type="pct"/>
            <w:vMerge w:val="continue"/>
            <w:tcBorders>
              <w:tl2br w:val="nil"/>
              <w:tr2bl w:val="nil"/>
            </w:tcBorders>
            <w:noWrap w:val="0"/>
            <w:vAlign w:val="center"/>
          </w:tcPr>
          <w:p w14:paraId="00E6D4B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auto"/>
                <w:sz w:val="21"/>
                <w:szCs w:val="21"/>
              </w:rPr>
            </w:pPr>
          </w:p>
        </w:tc>
        <w:tc>
          <w:tcPr>
            <w:tcW w:w="505" w:type="pct"/>
            <w:vMerge w:val="continue"/>
            <w:tcBorders>
              <w:tl2br w:val="nil"/>
              <w:tr2bl w:val="nil"/>
            </w:tcBorders>
            <w:noWrap w:val="0"/>
            <w:vAlign w:val="center"/>
          </w:tcPr>
          <w:p w14:paraId="6DF8D9DB">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405" w:type="pct"/>
            <w:vMerge w:val="continue"/>
            <w:tcBorders>
              <w:tl2br w:val="nil"/>
              <w:tr2bl w:val="nil"/>
            </w:tcBorders>
            <w:noWrap w:val="0"/>
            <w:vAlign w:val="center"/>
          </w:tcPr>
          <w:p w14:paraId="444636C1">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1378" w:type="pct"/>
            <w:tcBorders>
              <w:tl2br w:val="nil"/>
              <w:tr2bl w:val="nil"/>
            </w:tcBorders>
            <w:shd w:val="clear" w:color="auto" w:fill="auto"/>
            <w:noWrap w:val="0"/>
            <w:vAlign w:val="center"/>
          </w:tcPr>
          <w:p w14:paraId="64B96132">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硫酸盐</w:t>
            </w:r>
          </w:p>
        </w:tc>
        <w:tc>
          <w:tcPr>
            <w:tcW w:w="995" w:type="pct"/>
            <w:tcBorders>
              <w:tl2br w:val="nil"/>
              <w:tr2bl w:val="nil"/>
            </w:tcBorders>
            <w:shd w:val="clear" w:color="auto" w:fill="auto"/>
            <w:noWrap w:val="0"/>
            <w:vAlign w:val="center"/>
          </w:tcPr>
          <w:p w14:paraId="7DEA3338">
            <w:pPr>
              <w:keepNext w:val="0"/>
              <w:keepLines w:val="0"/>
              <w:widowControl/>
              <w:suppressLineNumbers w:val="0"/>
              <w:jc w:val="center"/>
              <w:textAlignment w:val="bottom"/>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160</w:t>
            </w:r>
          </w:p>
        </w:tc>
        <w:tc>
          <w:tcPr>
            <w:tcW w:w="943" w:type="pct"/>
            <w:tcBorders>
              <w:tl2br w:val="nil"/>
              <w:tr2bl w:val="nil"/>
            </w:tcBorders>
            <w:shd w:val="clear" w:color="auto" w:fill="auto"/>
            <w:noWrap w:val="0"/>
            <w:vAlign w:val="center"/>
          </w:tcPr>
          <w:p w14:paraId="2438C969">
            <w:pPr>
              <w:keepNext w:val="0"/>
              <w:keepLines w:val="0"/>
              <w:widowControl/>
              <w:suppressLineNumbers w:val="0"/>
              <w:jc w:val="center"/>
              <w:textAlignment w:val="bottom"/>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144</w:t>
            </w:r>
          </w:p>
        </w:tc>
      </w:tr>
      <w:tr w14:paraId="2C248F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2" w:type="pct"/>
            <w:vMerge w:val="continue"/>
            <w:tcBorders>
              <w:tl2br w:val="nil"/>
              <w:tr2bl w:val="nil"/>
            </w:tcBorders>
            <w:noWrap w:val="0"/>
            <w:vAlign w:val="center"/>
          </w:tcPr>
          <w:p w14:paraId="474D7AA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auto"/>
                <w:sz w:val="21"/>
                <w:szCs w:val="21"/>
              </w:rPr>
            </w:pPr>
          </w:p>
        </w:tc>
        <w:tc>
          <w:tcPr>
            <w:tcW w:w="505" w:type="pct"/>
            <w:vMerge w:val="continue"/>
            <w:tcBorders>
              <w:tl2br w:val="nil"/>
              <w:tr2bl w:val="nil"/>
            </w:tcBorders>
            <w:noWrap w:val="0"/>
            <w:vAlign w:val="center"/>
          </w:tcPr>
          <w:p w14:paraId="3284107E">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405" w:type="pct"/>
            <w:vMerge w:val="continue"/>
            <w:tcBorders>
              <w:tl2br w:val="nil"/>
              <w:tr2bl w:val="nil"/>
            </w:tcBorders>
            <w:noWrap w:val="0"/>
            <w:vAlign w:val="center"/>
          </w:tcPr>
          <w:p w14:paraId="0BE616A5">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1378" w:type="pct"/>
            <w:tcBorders>
              <w:tl2br w:val="nil"/>
              <w:tr2bl w:val="nil"/>
            </w:tcBorders>
            <w:shd w:val="clear" w:color="auto" w:fill="auto"/>
            <w:noWrap w:val="0"/>
            <w:vAlign w:val="center"/>
          </w:tcPr>
          <w:p w14:paraId="6DA8A3E1">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氯化物</w:t>
            </w:r>
          </w:p>
        </w:tc>
        <w:tc>
          <w:tcPr>
            <w:tcW w:w="995" w:type="pct"/>
            <w:tcBorders>
              <w:tl2br w:val="nil"/>
              <w:tr2bl w:val="nil"/>
            </w:tcBorders>
            <w:shd w:val="clear" w:color="auto" w:fill="auto"/>
            <w:noWrap w:val="0"/>
            <w:vAlign w:val="center"/>
          </w:tcPr>
          <w:p w14:paraId="3BAFF7DA">
            <w:pPr>
              <w:keepNext w:val="0"/>
              <w:keepLines w:val="0"/>
              <w:widowControl/>
              <w:suppressLineNumbers w:val="0"/>
              <w:jc w:val="center"/>
              <w:textAlignment w:val="bottom"/>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48</w:t>
            </w:r>
          </w:p>
        </w:tc>
        <w:tc>
          <w:tcPr>
            <w:tcW w:w="943" w:type="pct"/>
            <w:tcBorders>
              <w:tl2br w:val="nil"/>
              <w:tr2bl w:val="nil"/>
            </w:tcBorders>
            <w:shd w:val="clear" w:color="auto" w:fill="auto"/>
            <w:noWrap w:val="0"/>
            <w:vAlign w:val="center"/>
          </w:tcPr>
          <w:p w14:paraId="459328A7">
            <w:pPr>
              <w:keepNext w:val="0"/>
              <w:keepLines w:val="0"/>
              <w:widowControl/>
              <w:suppressLineNumbers w:val="0"/>
              <w:jc w:val="center"/>
              <w:textAlignment w:val="bottom"/>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52</w:t>
            </w:r>
          </w:p>
        </w:tc>
      </w:tr>
      <w:tr w14:paraId="1DF993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2" w:type="pct"/>
            <w:vMerge w:val="continue"/>
            <w:tcBorders>
              <w:tl2br w:val="nil"/>
              <w:tr2bl w:val="nil"/>
            </w:tcBorders>
            <w:noWrap w:val="0"/>
            <w:vAlign w:val="center"/>
          </w:tcPr>
          <w:p w14:paraId="40ED312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auto"/>
                <w:sz w:val="21"/>
                <w:szCs w:val="21"/>
              </w:rPr>
            </w:pPr>
          </w:p>
        </w:tc>
        <w:tc>
          <w:tcPr>
            <w:tcW w:w="505" w:type="pct"/>
            <w:vMerge w:val="continue"/>
            <w:tcBorders>
              <w:tl2br w:val="nil"/>
              <w:tr2bl w:val="nil"/>
            </w:tcBorders>
            <w:noWrap w:val="0"/>
            <w:vAlign w:val="center"/>
          </w:tcPr>
          <w:p w14:paraId="7B908CBD">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405" w:type="pct"/>
            <w:vMerge w:val="continue"/>
            <w:tcBorders>
              <w:tl2br w:val="nil"/>
              <w:tr2bl w:val="nil"/>
            </w:tcBorders>
            <w:noWrap w:val="0"/>
            <w:vAlign w:val="center"/>
          </w:tcPr>
          <w:p w14:paraId="4DDD6C08">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1378" w:type="pct"/>
            <w:tcBorders>
              <w:tl2br w:val="nil"/>
              <w:tr2bl w:val="nil"/>
            </w:tcBorders>
            <w:shd w:val="clear" w:color="auto" w:fill="auto"/>
            <w:noWrap w:val="0"/>
            <w:vAlign w:val="center"/>
          </w:tcPr>
          <w:p w14:paraId="183BB7B8">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菌落总数（CFU/mL）</w:t>
            </w:r>
          </w:p>
        </w:tc>
        <w:tc>
          <w:tcPr>
            <w:tcW w:w="995" w:type="pct"/>
            <w:tcBorders>
              <w:tl2br w:val="nil"/>
              <w:tr2bl w:val="nil"/>
            </w:tcBorders>
            <w:shd w:val="clear" w:color="auto" w:fill="auto"/>
            <w:noWrap w:val="0"/>
            <w:vAlign w:val="center"/>
          </w:tcPr>
          <w:p w14:paraId="013F20BC">
            <w:pPr>
              <w:keepNext w:val="0"/>
              <w:keepLines w:val="0"/>
              <w:widowControl/>
              <w:suppressLineNumbers w:val="0"/>
              <w:jc w:val="center"/>
              <w:textAlignment w:val="bottom"/>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50</w:t>
            </w:r>
          </w:p>
        </w:tc>
        <w:tc>
          <w:tcPr>
            <w:tcW w:w="943" w:type="pct"/>
            <w:tcBorders>
              <w:tl2br w:val="nil"/>
              <w:tr2bl w:val="nil"/>
            </w:tcBorders>
            <w:shd w:val="clear" w:color="auto" w:fill="auto"/>
            <w:noWrap w:val="0"/>
            <w:vAlign w:val="center"/>
          </w:tcPr>
          <w:p w14:paraId="70F0001B">
            <w:pPr>
              <w:keepNext w:val="0"/>
              <w:keepLines w:val="0"/>
              <w:widowControl/>
              <w:suppressLineNumbers w:val="0"/>
              <w:jc w:val="center"/>
              <w:textAlignment w:val="bottom"/>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46</w:t>
            </w:r>
          </w:p>
        </w:tc>
      </w:tr>
      <w:tr w14:paraId="39F316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2" w:type="pct"/>
            <w:vMerge w:val="restart"/>
            <w:tcBorders>
              <w:tl2br w:val="nil"/>
              <w:tr2bl w:val="nil"/>
            </w:tcBorders>
            <w:noWrap w:val="0"/>
            <w:vAlign w:val="center"/>
          </w:tcPr>
          <w:p w14:paraId="32483FD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采样日期</w:t>
            </w:r>
          </w:p>
        </w:tc>
        <w:tc>
          <w:tcPr>
            <w:tcW w:w="505" w:type="pct"/>
            <w:vMerge w:val="restart"/>
            <w:tcBorders>
              <w:tl2br w:val="nil"/>
              <w:tr2bl w:val="nil"/>
            </w:tcBorders>
            <w:noWrap w:val="0"/>
            <w:vAlign w:val="center"/>
          </w:tcPr>
          <w:p w14:paraId="7ECADE2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采样点</w:t>
            </w:r>
          </w:p>
        </w:tc>
        <w:tc>
          <w:tcPr>
            <w:tcW w:w="405" w:type="pct"/>
            <w:vMerge w:val="restart"/>
            <w:tcBorders>
              <w:tl2br w:val="nil"/>
              <w:tr2bl w:val="nil"/>
            </w:tcBorders>
            <w:noWrap w:val="0"/>
            <w:vAlign w:val="center"/>
          </w:tcPr>
          <w:p w14:paraId="14D49C7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样品状态</w:t>
            </w:r>
          </w:p>
        </w:tc>
        <w:tc>
          <w:tcPr>
            <w:tcW w:w="1378" w:type="pct"/>
            <w:vMerge w:val="restart"/>
            <w:tcBorders>
              <w:tl2br w:val="nil"/>
              <w:tr2bl w:val="nil"/>
            </w:tcBorders>
            <w:noWrap w:val="0"/>
            <w:vAlign w:val="center"/>
          </w:tcPr>
          <w:p w14:paraId="62EB61E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检测项目</w:t>
            </w:r>
          </w:p>
        </w:tc>
        <w:tc>
          <w:tcPr>
            <w:tcW w:w="1938" w:type="pct"/>
            <w:gridSpan w:val="2"/>
            <w:tcBorders>
              <w:tl2br w:val="nil"/>
              <w:tr2bl w:val="nil"/>
            </w:tcBorders>
            <w:noWrap w:val="0"/>
            <w:vAlign w:val="center"/>
          </w:tcPr>
          <w:p w14:paraId="4BDE6D0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检测结果（mg/L，pH无量纲）</w:t>
            </w:r>
          </w:p>
        </w:tc>
      </w:tr>
      <w:tr w14:paraId="48E98C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2" w:type="pct"/>
            <w:vMerge w:val="continue"/>
            <w:tcBorders>
              <w:tl2br w:val="nil"/>
              <w:tr2bl w:val="nil"/>
            </w:tcBorders>
            <w:noWrap w:val="0"/>
            <w:vAlign w:val="center"/>
          </w:tcPr>
          <w:p w14:paraId="2C96C79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p>
        </w:tc>
        <w:tc>
          <w:tcPr>
            <w:tcW w:w="505" w:type="pct"/>
            <w:vMerge w:val="continue"/>
            <w:tcBorders>
              <w:tl2br w:val="nil"/>
              <w:tr2bl w:val="nil"/>
            </w:tcBorders>
            <w:noWrap w:val="0"/>
            <w:vAlign w:val="center"/>
          </w:tcPr>
          <w:p w14:paraId="0795219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p>
        </w:tc>
        <w:tc>
          <w:tcPr>
            <w:tcW w:w="405" w:type="pct"/>
            <w:vMerge w:val="continue"/>
            <w:tcBorders>
              <w:tl2br w:val="nil"/>
              <w:tr2bl w:val="nil"/>
            </w:tcBorders>
            <w:noWrap w:val="0"/>
            <w:vAlign w:val="center"/>
          </w:tcPr>
          <w:p w14:paraId="45EF55E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p>
        </w:tc>
        <w:tc>
          <w:tcPr>
            <w:tcW w:w="1378" w:type="pct"/>
            <w:vMerge w:val="continue"/>
            <w:tcBorders>
              <w:tl2br w:val="nil"/>
              <w:tr2bl w:val="nil"/>
            </w:tcBorders>
            <w:noWrap w:val="0"/>
            <w:vAlign w:val="center"/>
          </w:tcPr>
          <w:p w14:paraId="2ACF09C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p>
        </w:tc>
        <w:tc>
          <w:tcPr>
            <w:tcW w:w="995" w:type="pct"/>
            <w:tcBorders>
              <w:tl2br w:val="nil"/>
              <w:tr2bl w:val="nil"/>
            </w:tcBorders>
            <w:noWrap w:val="0"/>
            <w:vAlign w:val="center"/>
          </w:tcPr>
          <w:p w14:paraId="4D5EC22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第一次</w:t>
            </w:r>
          </w:p>
        </w:tc>
        <w:tc>
          <w:tcPr>
            <w:tcW w:w="943" w:type="pct"/>
            <w:tcBorders>
              <w:tl2br w:val="nil"/>
              <w:tr2bl w:val="nil"/>
            </w:tcBorders>
            <w:noWrap w:val="0"/>
            <w:vAlign w:val="center"/>
          </w:tcPr>
          <w:p w14:paraId="19FA5EA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第二次</w:t>
            </w:r>
          </w:p>
        </w:tc>
      </w:tr>
      <w:tr w14:paraId="4942EF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2" w:type="pct"/>
            <w:vMerge w:val="restart"/>
            <w:tcBorders>
              <w:tl2br w:val="nil"/>
              <w:tr2bl w:val="nil"/>
            </w:tcBorders>
            <w:noWrap w:val="0"/>
            <w:vAlign w:val="center"/>
          </w:tcPr>
          <w:p w14:paraId="6F3FF98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2025-02-14</w:t>
            </w:r>
          </w:p>
        </w:tc>
        <w:tc>
          <w:tcPr>
            <w:tcW w:w="505" w:type="pct"/>
            <w:vMerge w:val="restart"/>
            <w:tcBorders>
              <w:tl2br w:val="nil"/>
              <w:tr2bl w:val="nil"/>
            </w:tcBorders>
            <w:noWrap w:val="0"/>
            <w:vAlign w:val="center"/>
          </w:tcPr>
          <w:p w14:paraId="6E8D212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厂区内地下水井</w:t>
            </w:r>
          </w:p>
        </w:tc>
        <w:tc>
          <w:tcPr>
            <w:tcW w:w="405" w:type="pct"/>
            <w:vMerge w:val="restart"/>
            <w:tcBorders>
              <w:tl2br w:val="nil"/>
              <w:tr2bl w:val="nil"/>
            </w:tcBorders>
            <w:noWrap w:val="0"/>
            <w:vAlign w:val="center"/>
          </w:tcPr>
          <w:p w14:paraId="3160807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b w:val="0"/>
                <w:bCs w:val="0"/>
                <w:color w:val="000000"/>
                <w:sz w:val="21"/>
                <w:szCs w:val="21"/>
                <w:lang w:val="en-US" w:eastAsia="zh-CN"/>
              </w:rPr>
              <w:t>清</w:t>
            </w:r>
          </w:p>
        </w:tc>
        <w:tc>
          <w:tcPr>
            <w:tcW w:w="1378" w:type="pct"/>
            <w:tcBorders>
              <w:tl2br w:val="nil"/>
              <w:tr2bl w:val="nil"/>
            </w:tcBorders>
            <w:shd w:val="clear" w:color="auto" w:fill="auto"/>
            <w:noWrap w:val="0"/>
            <w:vAlign w:val="center"/>
          </w:tcPr>
          <w:p w14:paraId="2E91CC58">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氨氮</w:t>
            </w:r>
          </w:p>
        </w:tc>
        <w:tc>
          <w:tcPr>
            <w:tcW w:w="995" w:type="pct"/>
            <w:tcBorders>
              <w:tl2br w:val="nil"/>
              <w:tr2bl w:val="nil"/>
            </w:tcBorders>
            <w:shd w:val="clear" w:color="auto" w:fill="auto"/>
            <w:noWrap w:val="0"/>
            <w:vAlign w:val="center"/>
          </w:tcPr>
          <w:p w14:paraId="41A38460">
            <w:pPr>
              <w:keepNext w:val="0"/>
              <w:keepLines w:val="0"/>
              <w:widowControl/>
              <w:suppressLineNumbers w:val="0"/>
              <w:jc w:val="center"/>
              <w:textAlignment w:val="bottom"/>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0.434</w:t>
            </w:r>
          </w:p>
        </w:tc>
        <w:tc>
          <w:tcPr>
            <w:tcW w:w="943" w:type="pct"/>
            <w:tcBorders>
              <w:tl2br w:val="nil"/>
              <w:tr2bl w:val="nil"/>
            </w:tcBorders>
            <w:shd w:val="clear" w:color="auto" w:fill="auto"/>
            <w:noWrap w:val="0"/>
            <w:vAlign w:val="center"/>
          </w:tcPr>
          <w:p w14:paraId="1ECF4BFB">
            <w:pPr>
              <w:keepNext w:val="0"/>
              <w:keepLines w:val="0"/>
              <w:widowControl/>
              <w:suppressLineNumbers w:val="0"/>
              <w:jc w:val="center"/>
              <w:textAlignment w:val="bottom"/>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0.388</w:t>
            </w:r>
          </w:p>
        </w:tc>
      </w:tr>
      <w:tr w14:paraId="20199E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2" w:type="pct"/>
            <w:vMerge w:val="continue"/>
            <w:tcBorders>
              <w:tl2br w:val="nil"/>
              <w:tr2bl w:val="nil"/>
            </w:tcBorders>
            <w:noWrap w:val="0"/>
            <w:vAlign w:val="center"/>
          </w:tcPr>
          <w:p w14:paraId="5585368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auto"/>
                <w:sz w:val="21"/>
                <w:szCs w:val="21"/>
              </w:rPr>
            </w:pPr>
          </w:p>
        </w:tc>
        <w:tc>
          <w:tcPr>
            <w:tcW w:w="505" w:type="pct"/>
            <w:vMerge w:val="continue"/>
            <w:tcBorders>
              <w:tl2br w:val="nil"/>
              <w:tr2bl w:val="nil"/>
            </w:tcBorders>
            <w:noWrap w:val="0"/>
            <w:vAlign w:val="center"/>
          </w:tcPr>
          <w:p w14:paraId="3E69FEA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auto"/>
                <w:sz w:val="21"/>
                <w:szCs w:val="21"/>
              </w:rPr>
            </w:pPr>
          </w:p>
        </w:tc>
        <w:tc>
          <w:tcPr>
            <w:tcW w:w="405" w:type="pct"/>
            <w:vMerge w:val="continue"/>
            <w:tcBorders>
              <w:tl2br w:val="nil"/>
              <w:tr2bl w:val="nil"/>
            </w:tcBorders>
            <w:noWrap w:val="0"/>
            <w:vAlign w:val="center"/>
          </w:tcPr>
          <w:p w14:paraId="21F46DF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color w:val="auto"/>
                <w:sz w:val="21"/>
                <w:szCs w:val="21"/>
              </w:rPr>
            </w:pPr>
          </w:p>
        </w:tc>
        <w:tc>
          <w:tcPr>
            <w:tcW w:w="1378" w:type="pct"/>
            <w:tcBorders>
              <w:tl2br w:val="nil"/>
              <w:tr2bl w:val="nil"/>
            </w:tcBorders>
            <w:shd w:val="clear" w:color="auto" w:fill="auto"/>
            <w:noWrap w:val="0"/>
            <w:vAlign w:val="center"/>
          </w:tcPr>
          <w:p w14:paraId="01F5D3D0">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硝酸盐氮</w:t>
            </w:r>
          </w:p>
        </w:tc>
        <w:tc>
          <w:tcPr>
            <w:tcW w:w="995" w:type="pct"/>
            <w:tcBorders>
              <w:tl2br w:val="nil"/>
              <w:tr2bl w:val="nil"/>
            </w:tcBorders>
            <w:shd w:val="clear" w:color="auto" w:fill="auto"/>
            <w:noWrap w:val="0"/>
            <w:vAlign w:val="center"/>
          </w:tcPr>
          <w:p w14:paraId="70464029">
            <w:pPr>
              <w:keepNext w:val="0"/>
              <w:keepLines w:val="0"/>
              <w:widowControl/>
              <w:suppressLineNumbers w:val="0"/>
              <w:jc w:val="center"/>
              <w:textAlignment w:val="bottom"/>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15.3</w:t>
            </w:r>
          </w:p>
        </w:tc>
        <w:tc>
          <w:tcPr>
            <w:tcW w:w="943" w:type="pct"/>
            <w:tcBorders>
              <w:tl2br w:val="nil"/>
              <w:tr2bl w:val="nil"/>
            </w:tcBorders>
            <w:shd w:val="clear" w:color="auto" w:fill="auto"/>
            <w:noWrap w:val="0"/>
            <w:vAlign w:val="center"/>
          </w:tcPr>
          <w:p w14:paraId="20626E3B">
            <w:pPr>
              <w:keepNext w:val="0"/>
              <w:keepLines w:val="0"/>
              <w:widowControl/>
              <w:suppressLineNumbers w:val="0"/>
              <w:jc w:val="center"/>
              <w:textAlignment w:val="bottom"/>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15.9</w:t>
            </w:r>
          </w:p>
        </w:tc>
      </w:tr>
      <w:tr w14:paraId="00D4C9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2" w:type="pct"/>
            <w:vMerge w:val="continue"/>
            <w:tcBorders>
              <w:tl2br w:val="nil"/>
              <w:tr2bl w:val="nil"/>
            </w:tcBorders>
            <w:noWrap w:val="0"/>
            <w:vAlign w:val="center"/>
          </w:tcPr>
          <w:p w14:paraId="7BEA255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auto"/>
                <w:sz w:val="21"/>
                <w:szCs w:val="21"/>
              </w:rPr>
            </w:pPr>
          </w:p>
        </w:tc>
        <w:tc>
          <w:tcPr>
            <w:tcW w:w="505" w:type="pct"/>
            <w:vMerge w:val="continue"/>
            <w:tcBorders>
              <w:tl2br w:val="nil"/>
              <w:tr2bl w:val="nil"/>
            </w:tcBorders>
            <w:noWrap w:val="0"/>
            <w:vAlign w:val="center"/>
          </w:tcPr>
          <w:p w14:paraId="54E8F0F1">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405" w:type="pct"/>
            <w:vMerge w:val="continue"/>
            <w:tcBorders>
              <w:tl2br w:val="nil"/>
              <w:tr2bl w:val="nil"/>
            </w:tcBorders>
            <w:noWrap w:val="0"/>
            <w:vAlign w:val="center"/>
          </w:tcPr>
          <w:p w14:paraId="12E73E93">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1378" w:type="pct"/>
            <w:tcBorders>
              <w:tl2br w:val="nil"/>
              <w:tr2bl w:val="nil"/>
            </w:tcBorders>
            <w:shd w:val="clear" w:color="auto" w:fill="auto"/>
            <w:noWrap w:val="0"/>
            <w:vAlign w:val="center"/>
          </w:tcPr>
          <w:p w14:paraId="7F2D58C8">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总硬度</w:t>
            </w:r>
          </w:p>
        </w:tc>
        <w:tc>
          <w:tcPr>
            <w:tcW w:w="995" w:type="pct"/>
            <w:tcBorders>
              <w:tl2br w:val="nil"/>
              <w:tr2bl w:val="nil"/>
            </w:tcBorders>
            <w:shd w:val="clear" w:color="auto" w:fill="auto"/>
            <w:noWrap w:val="0"/>
            <w:vAlign w:val="center"/>
          </w:tcPr>
          <w:p w14:paraId="27C16998">
            <w:pPr>
              <w:keepNext w:val="0"/>
              <w:keepLines w:val="0"/>
              <w:widowControl/>
              <w:suppressLineNumbers w:val="0"/>
              <w:jc w:val="center"/>
              <w:textAlignment w:val="bottom"/>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50</w:t>
            </w:r>
          </w:p>
        </w:tc>
        <w:tc>
          <w:tcPr>
            <w:tcW w:w="943" w:type="pct"/>
            <w:tcBorders>
              <w:tl2br w:val="nil"/>
              <w:tr2bl w:val="nil"/>
            </w:tcBorders>
            <w:shd w:val="clear" w:color="auto" w:fill="auto"/>
            <w:noWrap w:val="0"/>
            <w:vAlign w:val="center"/>
          </w:tcPr>
          <w:p w14:paraId="2B08E321">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44</w:t>
            </w:r>
          </w:p>
        </w:tc>
      </w:tr>
      <w:tr w14:paraId="0516F9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2" w:type="pct"/>
            <w:vMerge w:val="continue"/>
            <w:tcBorders>
              <w:tl2br w:val="nil"/>
              <w:tr2bl w:val="nil"/>
            </w:tcBorders>
            <w:noWrap w:val="0"/>
            <w:vAlign w:val="center"/>
          </w:tcPr>
          <w:p w14:paraId="3A0569A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auto"/>
                <w:sz w:val="21"/>
                <w:szCs w:val="21"/>
              </w:rPr>
            </w:pPr>
          </w:p>
        </w:tc>
        <w:tc>
          <w:tcPr>
            <w:tcW w:w="505" w:type="pct"/>
            <w:vMerge w:val="continue"/>
            <w:tcBorders>
              <w:tl2br w:val="nil"/>
              <w:tr2bl w:val="nil"/>
            </w:tcBorders>
            <w:noWrap w:val="0"/>
            <w:vAlign w:val="center"/>
          </w:tcPr>
          <w:p w14:paraId="059F8106">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405" w:type="pct"/>
            <w:vMerge w:val="continue"/>
            <w:tcBorders>
              <w:tl2br w:val="nil"/>
              <w:tr2bl w:val="nil"/>
            </w:tcBorders>
            <w:noWrap w:val="0"/>
            <w:vAlign w:val="center"/>
          </w:tcPr>
          <w:p w14:paraId="63977E32">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1378" w:type="pct"/>
            <w:tcBorders>
              <w:tl2br w:val="nil"/>
              <w:tr2bl w:val="nil"/>
            </w:tcBorders>
            <w:shd w:val="clear" w:color="auto" w:fill="auto"/>
            <w:noWrap w:val="0"/>
            <w:vAlign w:val="center"/>
          </w:tcPr>
          <w:p w14:paraId="7689E7CF">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溶解性总固体</w:t>
            </w:r>
          </w:p>
        </w:tc>
        <w:tc>
          <w:tcPr>
            <w:tcW w:w="995" w:type="pct"/>
            <w:tcBorders>
              <w:tl2br w:val="nil"/>
              <w:tr2bl w:val="nil"/>
            </w:tcBorders>
            <w:shd w:val="clear" w:color="auto" w:fill="auto"/>
            <w:noWrap w:val="0"/>
            <w:vAlign w:val="center"/>
          </w:tcPr>
          <w:p w14:paraId="695F2E8D">
            <w:pPr>
              <w:keepNext w:val="0"/>
              <w:keepLines w:val="0"/>
              <w:widowControl/>
              <w:suppressLineNumbers w:val="0"/>
              <w:jc w:val="center"/>
              <w:textAlignment w:val="bottom"/>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340</w:t>
            </w:r>
          </w:p>
        </w:tc>
        <w:tc>
          <w:tcPr>
            <w:tcW w:w="943" w:type="pct"/>
            <w:tcBorders>
              <w:tl2br w:val="nil"/>
              <w:tr2bl w:val="nil"/>
            </w:tcBorders>
            <w:shd w:val="clear" w:color="auto" w:fill="auto"/>
            <w:noWrap w:val="0"/>
            <w:vAlign w:val="center"/>
          </w:tcPr>
          <w:p w14:paraId="32E03638">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342</w:t>
            </w:r>
          </w:p>
        </w:tc>
      </w:tr>
      <w:tr w14:paraId="6B76F3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2" w:type="pct"/>
            <w:vMerge w:val="continue"/>
            <w:tcBorders>
              <w:tl2br w:val="nil"/>
              <w:tr2bl w:val="nil"/>
            </w:tcBorders>
            <w:noWrap w:val="0"/>
            <w:vAlign w:val="center"/>
          </w:tcPr>
          <w:p w14:paraId="2D4CF01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auto"/>
                <w:sz w:val="21"/>
                <w:szCs w:val="21"/>
              </w:rPr>
            </w:pPr>
          </w:p>
        </w:tc>
        <w:tc>
          <w:tcPr>
            <w:tcW w:w="505" w:type="pct"/>
            <w:vMerge w:val="continue"/>
            <w:tcBorders>
              <w:tl2br w:val="nil"/>
              <w:tr2bl w:val="nil"/>
            </w:tcBorders>
            <w:noWrap w:val="0"/>
            <w:vAlign w:val="center"/>
          </w:tcPr>
          <w:p w14:paraId="080DE74A">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405" w:type="pct"/>
            <w:vMerge w:val="continue"/>
            <w:tcBorders>
              <w:tl2br w:val="nil"/>
              <w:tr2bl w:val="nil"/>
            </w:tcBorders>
            <w:noWrap w:val="0"/>
            <w:vAlign w:val="center"/>
          </w:tcPr>
          <w:p w14:paraId="140AC737">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1378" w:type="pct"/>
            <w:tcBorders>
              <w:tl2br w:val="nil"/>
              <w:tr2bl w:val="nil"/>
            </w:tcBorders>
            <w:shd w:val="clear" w:color="auto" w:fill="auto"/>
            <w:noWrap w:val="0"/>
            <w:vAlign w:val="center"/>
          </w:tcPr>
          <w:p w14:paraId="47D63787">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高锰酸盐指数</w:t>
            </w:r>
          </w:p>
        </w:tc>
        <w:tc>
          <w:tcPr>
            <w:tcW w:w="995" w:type="pct"/>
            <w:tcBorders>
              <w:tl2br w:val="nil"/>
              <w:tr2bl w:val="nil"/>
            </w:tcBorders>
            <w:shd w:val="clear" w:color="auto" w:fill="auto"/>
            <w:noWrap w:val="0"/>
            <w:vAlign w:val="center"/>
          </w:tcPr>
          <w:p w14:paraId="710797EB">
            <w:pPr>
              <w:keepNext w:val="0"/>
              <w:keepLines w:val="0"/>
              <w:widowControl/>
              <w:suppressLineNumbers w:val="0"/>
              <w:jc w:val="center"/>
              <w:textAlignment w:val="bottom"/>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kern w:val="2"/>
                <w:sz w:val="21"/>
                <w:szCs w:val="21"/>
                <w:vertAlign w:val="baseline"/>
                <w:lang w:val="en-US" w:eastAsia="zh-CN" w:bidi="ar-SA"/>
              </w:rPr>
              <w:t>1.7</w:t>
            </w:r>
          </w:p>
        </w:tc>
        <w:tc>
          <w:tcPr>
            <w:tcW w:w="943" w:type="pct"/>
            <w:tcBorders>
              <w:tl2br w:val="nil"/>
              <w:tr2bl w:val="nil"/>
            </w:tcBorders>
            <w:shd w:val="clear" w:color="auto" w:fill="auto"/>
            <w:noWrap w:val="0"/>
            <w:vAlign w:val="center"/>
          </w:tcPr>
          <w:p w14:paraId="05181637">
            <w:pPr>
              <w:keepNext w:val="0"/>
              <w:keepLines w:val="0"/>
              <w:widowControl/>
              <w:suppressLineNumbers w:val="0"/>
              <w:jc w:val="center"/>
              <w:textAlignment w:val="bottom"/>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2.0</w:t>
            </w:r>
          </w:p>
        </w:tc>
      </w:tr>
      <w:tr w14:paraId="0189B3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2" w:type="pct"/>
            <w:vMerge w:val="continue"/>
            <w:tcBorders>
              <w:tl2br w:val="nil"/>
              <w:tr2bl w:val="nil"/>
            </w:tcBorders>
            <w:noWrap w:val="0"/>
            <w:vAlign w:val="center"/>
          </w:tcPr>
          <w:p w14:paraId="3D4B6E4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auto"/>
                <w:sz w:val="21"/>
                <w:szCs w:val="21"/>
              </w:rPr>
            </w:pPr>
          </w:p>
        </w:tc>
        <w:tc>
          <w:tcPr>
            <w:tcW w:w="505" w:type="pct"/>
            <w:vMerge w:val="continue"/>
            <w:tcBorders>
              <w:tl2br w:val="nil"/>
              <w:tr2bl w:val="nil"/>
            </w:tcBorders>
            <w:noWrap w:val="0"/>
            <w:vAlign w:val="center"/>
          </w:tcPr>
          <w:p w14:paraId="38611FCE">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405" w:type="pct"/>
            <w:vMerge w:val="continue"/>
            <w:tcBorders>
              <w:tl2br w:val="nil"/>
              <w:tr2bl w:val="nil"/>
            </w:tcBorders>
            <w:noWrap w:val="0"/>
            <w:vAlign w:val="center"/>
          </w:tcPr>
          <w:p w14:paraId="62DF4857">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1378" w:type="pct"/>
            <w:tcBorders>
              <w:tl2br w:val="nil"/>
              <w:tr2bl w:val="nil"/>
            </w:tcBorders>
            <w:shd w:val="clear" w:color="auto" w:fill="auto"/>
            <w:noWrap w:val="0"/>
            <w:vAlign w:val="center"/>
          </w:tcPr>
          <w:p w14:paraId="3CA20C12">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硫酸盐</w:t>
            </w:r>
          </w:p>
        </w:tc>
        <w:tc>
          <w:tcPr>
            <w:tcW w:w="995" w:type="pct"/>
            <w:tcBorders>
              <w:tl2br w:val="nil"/>
              <w:tr2bl w:val="nil"/>
            </w:tcBorders>
            <w:shd w:val="clear" w:color="auto" w:fill="auto"/>
            <w:noWrap w:val="0"/>
            <w:vAlign w:val="center"/>
          </w:tcPr>
          <w:p w14:paraId="3052DC46">
            <w:pPr>
              <w:keepNext w:val="0"/>
              <w:keepLines w:val="0"/>
              <w:widowControl/>
              <w:suppressLineNumbers w:val="0"/>
              <w:jc w:val="center"/>
              <w:textAlignment w:val="bottom"/>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143</w:t>
            </w:r>
          </w:p>
        </w:tc>
        <w:tc>
          <w:tcPr>
            <w:tcW w:w="943" w:type="pct"/>
            <w:tcBorders>
              <w:tl2br w:val="nil"/>
              <w:tr2bl w:val="nil"/>
            </w:tcBorders>
            <w:shd w:val="clear" w:color="auto" w:fill="auto"/>
            <w:noWrap w:val="0"/>
            <w:vAlign w:val="center"/>
          </w:tcPr>
          <w:p w14:paraId="35213FD4">
            <w:pPr>
              <w:keepNext w:val="0"/>
              <w:keepLines w:val="0"/>
              <w:widowControl/>
              <w:suppressLineNumbers w:val="0"/>
              <w:jc w:val="center"/>
              <w:textAlignment w:val="bottom"/>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154</w:t>
            </w:r>
          </w:p>
        </w:tc>
      </w:tr>
      <w:tr w14:paraId="7963F0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2" w:type="pct"/>
            <w:vMerge w:val="continue"/>
            <w:tcBorders>
              <w:tl2br w:val="nil"/>
              <w:tr2bl w:val="nil"/>
            </w:tcBorders>
            <w:noWrap w:val="0"/>
            <w:vAlign w:val="center"/>
          </w:tcPr>
          <w:p w14:paraId="7BDB6FD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auto"/>
                <w:sz w:val="21"/>
                <w:szCs w:val="21"/>
              </w:rPr>
            </w:pPr>
          </w:p>
        </w:tc>
        <w:tc>
          <w:tcPr>
            <w:tcW w:w="505" w:type="pct"/>
            <w:vMerge w:val="continue"/>
            <w:tcBorders>
              <w:tl2br w:val="nil"/>
              <w:tr2bl w:val="nil"/>
            </w:tcBorders>
            <w:noWrap w:val="0"/>
            <w:vAlign w:val="center"/>
          </w:tcPr>
          <w:p w14:paraId="47CE2B2F">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405" w:type="pct"/>
            <w:vMerge w:val="continue"/>
            <w:tcBorders>
              <w:tl2br w:val="nil"/>
              <w:tr2bl w:val="nil"/>
            </w:tcBorders>
            <w:noWrap w:val="0"/>
            <w:vAlign w:val="center"/>
          </w:tcPr>
          <w:p w14:paraId="36ED3C5F">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1378" w:type="pct"/>
            <w:tcBorders>
              <w:tl2br w:val="nil"/>
              <w:tr2bl w:val="nil"/>
            </w:tcBorders>
            <w:shd w:val="clear" w:color="auto" w:fill="auto"/>
            <w:noWrap w:val="0"/>
            <w:vAlign w:val="center"/>
          </w:tcPr>
          <w:p w14:paraId="3FD6ADD7">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氯化物</w:t>
            </w:r>
          </w:p>
        </w:tc>
        <w:tc>
          <w:tcPr>
            <w:tcW w:w="995" w:type="pct"/>
            <w:tcBorders>
              <w:tl2br w:val="nil"/>
              <w:tr2bl w:val="nil"/>
            </w:tcBorders>
            <w:shd w:val="clear" w:color="auto" w:fill="auto"/>
            <w:noWrap w:val="0"/>
            <w:vAlign w:val="center"/>
          </w:tcPr>
          <w:p w14:paraId="336B85BA">
            <w:pPr>
              <w:keepNext w:val="0"/>
              <w:keepLines w:val="0"/>
              <w:widowControl/>
              <w:suppressLineNumbers w:val="0"/>
              <w:jc w:val="center"/>
              <w:textAlignment w:val="bottom"/>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56</w:t>
            </w:r>
          </w:p>
        </w:tc>
        <w:tc>
          <w:tcPr>
            <w:tcW w:w="943" w:type="pct"/>
            <w:tcBorders>
              <w:tl2br w:val="nil"/>
              <w:tr2bl w:val="nil"/>
            </w:tcBorders>
            <w:shd w:val="clear" w:color="auto" w:fill="auto"/>
            <w:noWrap w:val="0"/>
            <w:vAlign w:val="center"/>
          </w:tcPr>
          <w:p w14:paraId="4F93BD98">
            <w:pPr>
              <w:keepNext w:val="0"/>
              <w:keepLines w:val="0"/>
              <w:widowControl/>
              <w:suppressLineNumbers w:val="0"/>
              <w:jc w:val="center"/>
              <w:textAlignment w:val="bottom"/>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54</w:t>
            </w:r>
          </w:p>
        </w:tc>
      </w:tr>
      <w:tr w14:paraId="5C9703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2" w:type="pct"/>
            <w:vMerge w:val="continue"/>
            <w:tcBorders>
              <w:tl2br w:val="nil"/>
              <w:tr2bl w:val="nil"/>
            </w:tcBorders>
            <w:noWrap w:val="0"/>
            <w:vAlign w:val="top"/>
          </w:tcPr>
          <w:p w14:paraId="28E7293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color w:val="auto"/>
                <w:sz w:val="21"/>
                <w:szCs w:val="21"/>
              </w:rPr>
            </w:pPr>
          </w:p>
        </w:tc>
        <w:tc>
          <w:tcPr>
            <w:tcW w:w="505" w:type="pct"/>
            <w:vMerge w:val="continue"/>
            <w:tcBorders>
              <w:tl2br w:val="nil"/>
              <w:tr2bl w:val="nil"/>
            </w:tcBorders>
            <w:noWrap w:val="0"/>
            <w:vAlign w:val="top"/>
          </w:tcPr>
          <w:p w14:paraId="32D91BC7">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405" w:type="pct"/>
            <w:vMerge w:val="continue"/>
            <w:tcBorders>
              <w:tl2br w:val="nil"/>
              <w:tr2bl w:val="nil"/>
            </w:tcBorders>
            <w:noWrap w:val="0"/>
            <w:vAlign w:val="top"/>
          </w:tcPr>
          <w:p w14:paraId="524DDF03">
            <w:pPr>
              <w:keepNext w:val="0"/>
              <w:keepLines w:val="0"/>
              <w:pageBreakBefore w:val="0"/>
              <w:widowControl w:val="0"/>
              <w:kinsoku/>
              <w:wordWrap/>
              <w:overflowPunct/>
              <w:topLinePunct w:val="0"/>
              <w:autoSpaceDE/>
              <w:autoSpaceDN/>
              <w:bidi w:val="0"/>
              <w:adjustRightInd/>
              <w:snapToGrid w:val="0"/>
              <w:ind w:firstLine="1470" w:firstLineChars="700"/>
              <w:textAlignment w:val="auto"/>
              <w:rPr>
                <w:rFonts w:hint="eastAsia" w:ascii="宋体" w:hAnsi="宋体" w:eastAsia="宋体" w:cs="宋体"/>
                <w:color w:val="auto"/>
                <w:sz w:val="21"/>
                <w:szCs w:val="21"/>
              </w:rPr>
            </w:pPr>
          </w:p>
        </w:tc>
        <w:tc>
          <w:tcPr>
            <w:tcW w:w="1378" w:type="pct"/>
            <w:tcBorders>
              <w:tl2br w:val="nil"/>
              <w:tr2bl w:val="nil"/>
            </w:tcBorders>
            <w:shd w:val="clear" w:color="auto" w:fill="auto"/>
            <w:noWrap w:val="0"/>
            <w:vAlign w:val="center"/>
          </w:tcPr>
          <w:p w14:paraId="13EA76E6">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菌落总数（CFU/mL）</w:t>
            </w:r>
          </w:p>
        </w:tc>
        <w:tc>
          <w:tcPr>
            <w:tcW w:w="995" w:type="pct"/>
            <w:tcBorders>
              <w:tl2br w:val="nil"/>
              <w:tr2bl w:val="nil"/>
            </w:tcBorders>
            <w:shd w:val="clear" w:color="auto" w:fill="auto"/>
            <w:noWrap w:val="0"/>
            <w:vAlign w:val="center"/>
          </w:tcPr>
          <w:p w14:paraId="66EA9518">
            <w:pPr>
              <w:keepNext w:val="0"/>
              <w:keepLines w:val="0"/>
              <w:widowControl/>
              <w:suppressLineNumbers w:val="0"/>
              <w:jc w:val="center"/>
              <w:textAlignment w:val="bottom"/>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40</w:t>
            </w:r>
          </w:p>
        </w:tc>
        <w:tc>
          <w:tcPr>
            <w:tcW w:w="943" w:type="pct"/>
            <w:tcBorders>
              <w:tl2br w:val="nil"/>
              <w:tr2bl w:val="nil"/>
            </w:tcBorders>
            <w:shd w:val="clear" w:color="auto" w:fill="auto"/>
            <w:noWrap w:val="0"/>
            <w:vAlign w:val="center"/>
          </w:tcPr>
          <w:p w14:paraId="353B85F1">
            <w:pPr>
              <w:keepNext w:val="0"/>
              <w:keepLines w:val="0"/>
              <w:widowControl/>
              <w:suppressLineNumbers w:val="0"/>
              <w:jc w:val="center"/>
              <w:textAlignment w:val="bottom"/>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44</w:t>
            </w:r>
          </w:p>
        </w:tc>
      </w:tr>
    </w:tbl>
    <w:p w14:paraId="07644F12">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000000" w:themeColor="text1"/>
          <w:kern w:val="0"/>
          <w:sz w:val="24"/>
          <w:szCs w:val="20"/>
          <w:lang w:val="en-US" w:eastAsia="zh-CN" w:bidi="ar-SA"/>
          <w14:textFill>
            <w14:solidFill>
              <w14:schemeClr w14:val="tx1"/>
            </w14:solidFill>
          </w14:textFill>
        </w:rPr>
      </w:pPr>
      <w:r>
        <w:rPr>
          <w:rFonts w:hint="eastAsia" w:ascii="宋体" w:hAnsi="宋体" w:eastAsia="宋体" w:cs="宋体"/>
          <w:color w:val="000000" w:themeColor="text1"/>
          <w:kern w:val="0"/>
          <w:sz w:val="24"/>
          <w:szCs w:val="20"/>
          <w:lang w:val="en-US" w:eastAsia="zh-CN" w:bidi="ar-SA"/>
          <w14:textFill>
            <w14:solidFill>
              <w14:schemeClr w14:val="tx1"/>
            </w14:solidFill>
          </w14:textFill>
        </w:rPr>
        <w:t>监测结果表明：地下水的各指标达到《地下水质量标准》（GB/T14848-2017）Ⅲ类标准要求。</w:t>
      </w:r>
    </w:p>
    <w:p w14:paraId="54EFB129">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1"/>
        <w:rPr>
          <w:rFonts w:hint="eastAsia" w:ascii="宋体" w:hAnsi="宋体" w:eastAsia="宋体" w:cs="宋体"/>
          <w:b/>
          <w:bCs/>
          <w:color w:val="000000" w:themeColor="text1"/>
          <w:kern w:val="0"/>
          <w:sz w:val="28"/>
          <w:szCs w:val="28"/>
          <w:lang w:val="en-US" w:eastAsia="zh-CN" w:bidi="ar"/>
          <w14:textFill>
            <w14:solidFill>
              <w14:schemeClr w14:val="tx1"/>
            </w14:solidFill>
          </w14:textFill>
        </w:rPr>
      </w:pPr>
      <w:bookmarkStart w:id="73" w:name="_Toc3987"/>
      <w:r>
        <w:rPr>
          <w:rFonts w:hint="eastAsia" w:ascii="宋体" w:hAnsi="宋体" w:eastAsia="宋体" w:cs="宋体"/>
          <w:b/>
          <w:bCs/>
          <w:color w:val="000000" w:themeColor="text1"/>
          <w:kern w:val="0"/>
          <w:sz w:val="28"/>
          <w:szCs w:val="28"/>
          <w:lang w:val="en-US" w:eastAsia="zh-CN" w:bidi="ar"/>
          <w14:textFill>
            <w14:solidFill>
              <w14:schemeClr w14:val="tx1"/>
            </w14:solidFill>
          </w14:textFill>
        </w:rPr>
        <w:t>9.5  噪声监测结果及评价</w:t>
      </w:r>
      <w:bookmarkEnd w:id="73"/>
    </w:p>
    <w:p w14:paraId="297093F1">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项目厂界</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敏感点</w:t>
      </w:r>
      <w:r>
        <w:rPr>
          <w:rFonts w:hint="eastAsia" w:ascii="宋体" w:hAnsi="宋体" w:eastAsia="宋体" w:cs="宋体"/>
          <w:color w:val="000000" w:themeColor="text1"/>
          <w:sz w:val="24"/>
          <w14:textFill>
            <w14:solidFill>
              <w14:schemeClr w14:val="tx1"/>
            </w14:solidFill>
          </w14:textFill>
        </w:rPr>
        <w:t>噪声</w:t>
      </w:r>
      <w:r>
        <w:rPr>
          <w:rFonts w:hint="eastAsia" w:ascii="宋体" w:hAnsi="宋体" w:cs="宋体"/>
          <w:color w:val="000000" w:themeColor="text1"/>
          <w:sz w:val="24"/>
          <w:lang w:eastAsia="zh-CN"/>
          <w14:textFill>
            <w14:solidFill>
              <w14:schemeClr w14:val="tx1"/>
            </w14:solidFill>
          </w14:textFill>
        </w:rPr>
        <w:t>监测</w:t>
      </w:r>
      <w:r>
        <w:rPr>
          <w:rFonts w:hint="eastAsia" w:ascii="宋体" w:hAnsi="宋体" w:eastAsia="宋体" w:cs="宋体"/>
          <w:color w:val="000000" w:themeColor="text1"/>
          <w:sz w:val="24"/>
          <w14:textFill>
            <w14:solidFill>
              <w14:schemeClr w14:val="tx1"/>
            </w14:solidFill>
          </w14:textFill>
        </w:rPr>
        <w:t>结果见表</w:t>
      </w:r>
      <w:r>
        <w:rPr>
          <w:rFonts w:hint="eastAsia" w:ascii="宋体" w:hAnsi="宋体" w:eastAsia="宋体" w:cs="宋体"/>
          <w:color w:val="000000" w:themeColor="text1"/>
          <w:sz w:val="24"/>
          <w:lang w:val="en-US" w:eastAsia="zh-CN"/>
          <w14:textFill>
            <w14:solidFill>
              <w14:schemeClr w14:val="tx1"/>
            </w14:solidFill>
          </w14:textFill>
        </w:rPr>
        <w:t>9.5-1</w:t>
      </w:r>
      <w:r>
        <w:rPr>
          <w:rFonts w:hint="eastAsia" w:ascii="宋体" w:hAnsi="宋体" w:cs="宋体"/>
          <w:color w:val="000000" w:themeColor="text1"/>
          <w:sz w:val="24"/>
          <w:lang w:val="en-US" w:eastAsia="zh-CN"/>
          <w14:textFill>
            <w14:solidFill>
              <w14:schemeClr w14:val="tx1"/>
            </w14:solidFill>
          </w14:textFill>
        </w:rPr>
        <w:t>、表9.5-2</w:t>
      </w:r>
      <w:r>
        <w:rPr>
          <w:rFonts w:hint="eastAsia" w:ascii="宋体" w:hAnsi="宋体" w:eastAsia="宋体" w:cs="宋体"/>
          <w:color w:val="000000" w:themeColor="text1"/>
          <w:sz w:val="24"/>
          <w14:textFill>
            <w14:solidFill>
              <w14:schemeClr w14:val="tx1"/>
            </w14:solidFill>
          </w14:textFill>
        </w:rPr>
        <w:t>。</w:t>
      </w:r>
    </w:p>
    <w:p w14:paraId="1C674AB8">
      <w:pP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br w:type="page"/>
      </w:r>
    </w:p>
    <w:p w14:paraId="242992F4">
      <w:pPr>
        <w:pStyle w:val="35"/>
        <w:keepNext w:val="0"/>
        <w:keepLines w:val="0"/>
        <w:pageBreakBefore w:val="0"/>
        <w:widowControl w:val="0"/>
        <w:kinsoku/>
        <w:wordWrap/>
        <w:overflowPunct w:val="0"/>
        <w:topLinePunct w:val="0"/>
        <w:autoSpaceDE w:val="0"/>
        <w:autoSpaceDN w:val="0"/>
        <w:bidi w:val="0"/>
        <w:adjustRightInd w:val="0"/>
        <w:snapToGrid/>
        <w:spacing w:before="0" w:after="0"/>
        <w:textAlignment w:val="baseline"/>
        <w:rPr>
          <w:rFonts w:hint="eastAsia" w:ascii="宋体" w:hAnsi="宋体" w:eastAsia="宋体" w:cs="宋体"/>
        </w:rPr>
      </w:pPr>
      <w:r>
        <w:rPr>
          <w:rFonts w:hint="eastAsia" w:ascii="宋体" w:hAnsi="宋体" w:eastAsia="宋体" w:cs="宋体"/>
        </w:rPr>
        <w:t>表</w:t>
      </w:r>
      <w:r>
        <w:rPr>
          <w:rFonts w:hint="eastAsia" w:ascii="宋体" w:hAnsi="宋体" w:eastAsia="宋体" w:cs="宋体"/>
          <w:lang w:val="en-US" w:eastAsia="zh-CN"/>
        </w:rPr>
        <w:t>9.5-1</w:t>
      </w:r>
      <w:r>
        <w:rPr>
          <w:rFonts w:hint="eastAsia" w:ascii="宋体" w:hAnsi="宋体" w:eastAsia="宋体" w:cs="宋体"/>
        </w:rPr>
        <w:t xml:space="preserve">  厂界噪声</w:t>
      </w:r>
      <w:r>
        <w:rPr>
          <w:rFonts w:hint="eastAsia" w:cs="宋体"/>
          <w:lang w:eastAsia="zh-CN"/>
        </w:rPr>
        <w:t>监测</w:t>
      </w:r>
      <w:r>
        <w:rPr>
          <w:rFonts w:hint="eastAsia" w:ascii="宋体" w:hAnsi="宋体" w:eastAsia="宋体" w:cs="宋体"/>
        </w:rPr>
        <w:t>结果</w:t>
      </w:r>
    </w:p>
    <w:tbl>
      <w:tblPr>
        <w:tblStyle w:val="19"/>
        <w:tblW w:w="4998" w:type="pct"/>
        <w:jc w:val="right"/>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798"/>
        <w:gridCol w:w="867"/>
        <w:gridCol w:w="1486"/>
        <w:gridCol w:w="1409"/>
        <w:gridCol w:w="1578"/>
        <w:gridCol w:w="1597"/>
      </w:tblGrid>
      <w:tr w14:paraId="7E8F35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right"/>
        </w:trPr>
        <w:tc>
          <w:tcPr>
            <w:tcW w:w="460" w:type="pct"/>
            <w:vMerge w:val="restart"/>
            <w:tcBorders>
              <w:tl2br w:val="nil"/>
              <w:tr2bl w:val="nil"/>
            </w:tcBorders>
            <w:noWrap w:val="0"/>
            <w:vAlign w:val="center"/>
          </w:tcPr>
          <w:p w14:paraId="6BAF6289">
            <w:pPr>
              <w:keepNext w:val="0"/>
              <w:keepLines w:val="0"/>
              <w:pageBreakBefore w:val="0"/>
              <w:kinsoku/>
              <w:wordWrap/>
              <w:overflowPunct/>
              <w:topLinePunct w:val="0"/>
              <w:bidi w:val="0"/>
              <w:snapToGrid w:val="0"/>
              <w:spacing w:line="240" w:lineRule="auto"/>
              <w:jc w:val="center"/>
              <w:rPr>
                <w:rFonts w:hint="eastAsia" w:ascii="宋体" w:hAnsi="宋体" w:eastAsia="宋体" w:cs="宋体"/>
                <w:b/>
                <w:bCs/>
                <w:color w:val="000000"/>
                <w:sz w:val="21"/>
                <w:szCs w:val="21"/>
                <w:lang w:eastAsia="zh-CN"/>
              </w:rPr>
            </w:pPr>
            <w:r>
              <w:rPr>
                <w:rFonts w:hint="eastAsia" w:ascii="宋体" w:hAnsi="宋体" w:eastAsia="宋体" w:cs="宋体"/>
                <w:b/>
                <w:bCs/>
                <w:color w:val="000000"/>
                <w:sz w:val="21"/>
                <w:szCs w:val="21"/>
              </w:rPr>
              <w:t>测点号</w:t>
            </w:r>
          </w:p>
        </w:tc>
        <w:tc>
          <w:tcPr>
            <w:tcW w:w="468" w:type="pct"/>
            <w:vMerge w:val="restart"/>
            <w:tcBorders>
              <w:tl2br w:val="nil"/>
              <w:tr2bl w:val="nil"/>
            </w:tcBorders>
            <w:noWrap w:val="0"/>
            <w:vAlign w:val="center"/>
          </w:tcPr>
          <w:p w14:paraId="30CEE399">
            <w:pPr>
              <w:keepNext w:val="0"/>
              <w:keepLines w:val="0"/>
              <w:pageBreakBefore w:val="0"/>
              <w:kinsoku/>
              <w:wordWrap/>
              <w:overflowPunct/>
              <w:topLinePunct w:val="0"/>
              <w:bidi w:val="0"/>
              <w:snapToGrid w:val="0"/>
              <w:spacing w:line="240" w:lineRule="auto"/>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测点</w:t>
            </w:r>
          </w:p>
          <w:p w14:paraId="66909DFF">
            <w:pPr>
              <w:keepNext w:val="0"/>
              <w:keepLines w:val="0"/>
              <w:pageBreakBefore w:val="0"/>
              <w:kinsoku/>
              <w:wordWrap/>
              <w:overflowPunct/>
              <w:topLinePunct w:val="0"/>
              <w:bidi w:val="0"/>
              <w:snapToGrid w:val="0"/>
              <w:spacing w:line="240" w:lineRule="auto"/>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位置</w:t>
            </w:r>
          </w:p>
        </w:tc>
        <w:tc>
          <w:tcPr>
            <w:tcW w:w="508" w:type="pct"/>
            <w:vMerge w:val="restart"/>
            <w:tcBorders>
              <w:tl2br w:val="nil"/>
              <w:tr2bl w:val="nil"/>
            </w:tcBorders>
            <w:noWrap w:val="0"/>
            <w:vAlign w:val="center"/>
          </w:tcPr>
          <w:p w14:paraId="06DD5DEF">
            <w:pPr>
              <w:keepNext w:val="0"/>
              <w:keepLines w:val="0"/>
              <w:pageBreakBefore w:val="0"/>
              <w:kinsoku/>
              <w:wordWrap/>
              <w:overflowPunct/>
              <w:topLinePunct w:val="0"/>
              <w:bidi w:val="0"/>
              <w:snapToGrid w:val="0"/>
              <w:spacing w:line="240" w:lineRule="auto"/>
              <w:jc w:val="center"/>
              <w:rPr>
                <w:rFonts w:hint="eastAsia" w:ascii="宋体" w:hAnsi="宋体" w:eastAsia="宋体" w:cs="宋体"/>
                <w:b/>
                <w:bCs/>
                <w:sz w:val="21"/>
                <w:szCs w:val="21"/>
                <w:lang w:eastAsia="zh-CN"/>
              </w:rPr>
            </w:pPr>
            <w:r>
              <w:rPr>
                <w:rFonts w:hint="eastAsia" w:ascii="宋体" w:hAnsi="宋体" w:eastAsia="宋体" w:cs="宋体"/>
                <w:b/>
                <w:bCs/>
                <w:color w:val="000000"/>
                <w:sz w:val="21"/>
                <w:szCs w:val="21"/>
              </w:rPr>
              <w:t>主要噪声源</w:t>
            </w:r>
          </w:p>
        </w:tc>
        <w:tc>
          <w:tcPr>
            <w:tcW w:w="1699" w:type="pct"/>
            <w:gridSpan w:val="2"/>
            <w:tcBorders>
              <w:tl2br w:val="nil"/>
              <w:tr2bl w:val="nil"/>
            </w:tcBorders>
            <w:noWrap w:val="0"/>
            <w:vAlign w:val="center"/>
          </w:tcPr>
          <w:p w14:paraId="51495F00">
            <w:pPr>
              <w:keepNext w:val="0"/>
              <w:keepLines w:val="0"/>
              <w:pageBreakBefore w:val="0"/>
              <w:kinsoku/>
              <w:wordWrap/>
              <w:overflowPunct/>
              <w:topLinePunct w:val="0"/>
              <w:bidi w:val="0"/>
              <w:snapToGrid w:val="0"/>
              <w:spacing w:line="240" w:lineRule="auto"/>
              <w:jc w:val="center"/>
              <w:rPr>
                <w:rFonts w:hint="eastAsia" w:ascii="宋体" w:hAnsi="宋体" w:eastAsia="宋体" w:cs="宋体"/>
                <w:b/>
                <w:bCs/>
                <w:color w:val="000000"/>
                <w:sz w:val="21"/>
                <w:szCs w:val="21"/>
                <w:lang w:eastAsia="zh-CN"/>
              </w:rPr>
            </w:pPr>
            <w:r>
              <w:rPr>
                <w:rFonts w:hint="eastAsia" w:ascii="宋体" w:hAnsi="宋体" w:eastAsia="宋体" w:cs="宋体"/>
                <w:b/>
                <w:bCs/>
                <w:color w:val="000000"/>
                <w:sz w:val="21"/>
                <w:szCs w:val="21"/>
                <w:lang w:val="en-US" w:eastAsia="zh-CN"/>
              </w:rPr>
              <w:t>昼间</w:t>
            </w:r>
            <w:r>
              <w:rPr>
                <w:rFonts w:hint="eastAsia" w:ascii="宋体" w:hAnsi="宋体" w:eastAsia="宋体" w:cs="宋体"/>
                <w:b/>
                <w:bCs/>
                <w:color w:val="000000"/>
                <w:sz w:val="21"/>
                <w:szCs w:val="21"/>
              </w:rPr>
              <w:t>检测结果</w:t>
            </w:r>
            <w:r>
              <w:rPr>
                <w:rFonts w:hint="eastAsia" w:ascii="宋体" w:hAnsi="宋体" w:eastAsia="宋体" w:cs="宋体"/>
                <w:b/>
                <w:bCs/>
                <w:sz w:val="21"/>
                <w:szCs w:val="21"/>
              </w:rPr>
              <w:t xml:space="preserve"> Leq</w:t>
            </w:r>
            <w:r>
              <w:rPr>
                <w:rFonts w:hint="eastAsia" w:ascii="宋体" w:hAnsi="宋体" w:eastAsia="宋体" w:cs="宋体"/>
                <w:b/>
                <w:bCs/>
                <w:color w:val="000000"/>
                <w:spacing w:val="-12"/>
                <w:kern w:val="0"/>
                <w:sz w:val="21"/>
                <w:szCs w:val="21"/>
                <w:lang w:val="en-US" w:eastAsia="zh-CN"/>
              </w:rPr>
              <w:t>[</w:t>
            </w:r>
            <w:r>
              <w:rPr>
                <w:rFonts w:hint="eastAsia" w:ascii="宋体" w:hAnsi="宋体" w:eastAsia="宋体" w:cs="宋体"/>
                <w:b/>
                <w:bCs/>
                <w:color w:val="000000"/>
                <w:spacing w:val="-12"/>
                <w:kern w:val="0"/>
                <w:sz w:val="21"/>
                <w:szCs w:val="21"/>
              </w:rPr>
              <w:t>dB(A)</w:t>
            </w:r>
            <w:r>
              <w:rPr>
                <w:rFonts w:hint="eastAsia" w:ascii="宋体" w:hAnsi="宋体" w:eastAsia="宋体" w:cs="宋体"/>
                <w:b/>
                <w:bCs/>
                <w:color w:val="000000"/>
                <w:spacing w:val="-12"/>
                <w:kern w:val="0"/>
                <w:sz w:val="21"/>
                <w:szCs w:val="21"/>
                <w:lang w:val="en-US" w:eastAsia="zh-CN"/>
              </w:rPr>
              <w:t>]</w:t>
            </w:r>
          </w:p>
        </w:tc>
        <w:tc>
          <w:tcPr>
            <w:tcW w:w="1863" w:type="pct"/>
            <w:gridSpan w:val="2"/>
            <w:tcBorders>
              <w:tl2br w:val="nil"/>
              <w:tr2bl w:val="nil"/>
            </w:tcBorders>
            <w:noWrap w:val="0"/>
            <w:vAlign w:val="center"/>
          </w:tcPr>
          <w:p w14:paraId="574C18F6">
            <w:pPr>
              <w:keepNext w:val="0"/>
              <w:keepLines w:val="0"/>
              <w:pageBreakBefore w:val="0"/>
              <w:kinsoku/>
              <w:wordWrap/>
              <w:overflowPunct/>
              <w:topLinePunct w:val="0"/>
              <w:bidi w:val="0"/>
              <w:snapToGrid w:val="0"/>
              <w:spacing w:line="240" w:lineRule="auto"/>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lang w:val="en-US" w:eastAsia="zh-CN"/>
              </w:rPr>
              <w:t>夜间</w:t>
            </w:r>
            <w:r>
              <w:rPr>
                <w:rFonts w:hint="eastAsia" w:ascii="宋体" w:hAnsi="宋体" w:eastAsia="宋体" w:cs="宋体"/>
                <w:b/>
                <w:bCs/>
                <w:color w:val="000000"/>
                <w:sz w:val="21"/>
                <w:szCs w:val="21"/>
              </w:rPr>
              <w:t>检测结果</w:t>
            </w:r>
            <w:r>
              <w:rPr>
                <w:rFonts w:hint="eastAsia" w:ascii="宋体" w:hAnsi="宋体" w:eastAsia="宋体" w:cs="宋体"/>
                <w:b/>
                <w:bCs/>
                <w:sz w:val="21"/>
                <w:szCs w:val="21"/>
              </w:rPr>
              <w:t xml:space="preserve"> Leq</w:t>
            </w:r>
            <w:r>
              <w:rPr>
                <w:rFonts w:hint="eastAsia" w:ascii="宋体" w:hAnsi="宋体" w:eastAsia="宋体" w:cs="宋体"/>
                <w:b/>
                <w:bCs/>
                <w:color w:val="000000"/>
                <w:spacing w:val="-12"/>
                <w:kern w:val="0"/>
                <w:sz w:val="21"/>
                <w:szCs w:val="21"/>
                <w:lang w:val="en-US" w:eastAsia="zh-CN"/>
              </w:rPr>
              <w:t>[</w:t>
            </w:r>
            <w:r>
              <w:rPr>
                <w:rFonts w:hint="eastAsia" w:ascii="宋体" w:hAnsi="宋体" w:eastAsia="宋体" w:cs="宋体"/>
                <w:b/>
                <w:bCs/>
                <w:color w:val="000000"/>
                <w:spacing w:val="-12"/>
                <w:kern w:val="0"/>
                <w:sz w:val="21"/>
                <w:szCs w:val="21"/>
              </w:rPr>
              <w:t>dB(A)</w:t>
            </w:r>
            <w:r>
              <w:rPr>
                <w:rFonts w:hint="eastAsia" w:ascii="宋体" w:hAnsi="宋体" w:eastAsia="宋体" w:cs="宋体"/>
                <w:b/>
                <w:bCs/>
                <w:color w:val="000000"/>
                <w:spacing w:val="-12"/>
                <w:kern w:val="0"/>
                <w:sz w:val="21"/>
                <w:szCs w:val="21"/>
                <w:lang w:val="en-US" w:eastAsia="zh-CN"/>
              </w:rPr>
              <w:t>]</w:t>
            </w:r>
          </w:p>
        </w:tc>
      </w:tr>
      <w:tr w14:paraId="5353F9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right"/>
        </w:trPr>
        <w:tc>
          <w:tcPr>
            <w:tcW w:w="460" w:type="pct"/>
            <w:vMerge w:val="continue"/>
            <w:tcBorders>
              <w:tl2br w:val="nil"/>
              <w:tr2bl w:val="nil"/>
            </w:tcBorders>
            <w:noWrap w:val="0"/>
            <w:vAlign w:val="center"/>
          </w:tcPr>
          <w:p w14:paraId="3968D2A5">
            <w:pPr>
              <w:keepNext w:val="0"/>
              <w:keepLines w:val="0"/>
              <w:pageBreakBefore w:val="0"/>
              <w:kinsoku/>
              <w:wordWrap/>
              <w:overflowPunct/>
              <w:topLinePunct w:val="0"/>
              <w:bidi w:val="0"/>
              <w:snapToGrid w:val="0"/>
              <w:spacing w:line="240" w:lineRule="auto"/>
              <w:jc w:val="center"/>
              <w:rPr>
                <w:rFonts w:hint="eastAsia" w:ascii="宋体" w:hAnsi="宋体" w:eastAsia="宋体" w:cs="宋体"/>
                <w:b/>
                <w:bCs/>
                <w:color w:val="000000"/>
                <w:sz w:val="21"/>
                <w:szCs w:val="21"/>
              </w:rPr>
            </w:pPr>
          </w:p>
        </w:tc>
        <w:tc>
          <w:tcPr>
            <w:tcW w:w="468" w:type="pct"/>
            <w:vMerge w:val="continue"/>
            <w:tcBorders>
              <w:tl2br w:val="nil"/>
              <w:tr2bl w:val="nil"/>
            </w:tcBorders>
            <w:noWrap w:val="0"/>
            <w:vAlign w:val="center"/>
          </w:tcPr>
          <w:p w14:paraId="48030BFE">
            <w:pPr>
              <w:keepNext w:val="0"/>
              <w:keepLines w:val="0"/>
              <w:pageBreakBefore w:val="0"/>
              <w:kinsoku/>
              <w:wordWrap/>
              <w:overflowPunct/>
              <w:topLinePunct w:val="0"/>
              <w:bidi w:val="0"/>
              <w:snapToGrid w:val="0"/>
              <w:spacing w:line="240" w:lineRule="auto"/>
              <w:jc w:val="center"/>
              <w:rPr>
                <w:rFonts w:hint="eastAsia" w:ascii="宋体" w:hAnsi="宋体" w:eastAsia="宋体" w:cs="宋体"/>
                <w:b/>
                <w:bCs/>
                <w:color w:val="000000"/>
                <w:sz w:val="21"/>
                <w:szCs w:val="21"/>
              </w:rPr>
            </w:pPr>
          </w:p>
        </w:tc>
        <w:tc>
          <w:tcPr>
            <w:tcW w:w="508" w:type="pct"/>
            <w:vMerge w:val="continue"/>
            <w:tcBorders>
              <w:tl2br w:val="nil"/>
              <w:tr2bl w:val="nil"/>
            </w:tcBorders>
            <w:noWrap w:val="0"/>
            <w:vAlign w:val="center"/>
          </w:tcPr>
          <w:p w14:paraId="032CF591">
            <w:pPr>
              <w:keepNext w:val="0"/>
              <w:keepLines w:val="0"/>
              <w:pageBreakBefore w:val="0"/>
              <w:kinsoku/>
              <w:wordWrap/>
              <w:overflowPunct/>
              <w:topLinePunct w:val="0"/>
              <w:bidi w:val="0"/>
              <w:snapToGrid w:val="0"/>
              <w:spacing w:line="240" w:lineRule="auto"/>
              <w:jc w:val="center"/>
              <w:rPr>
                <w:rFonts w:hint="eastAsia" w:ascii="宋体" w:hAnsi="宋体" w:eastAsia="宋体" w:cs="宋体"/>
                <w:b/>
                <w:bCs/>
                <w:color w:val="000000"/>
                <w:sz w:val="21"/>
                <w:szCs w:val="21"/>
              </w:rPr>
            </w:pPr>
          </w:p>
        </w:tc>
        <w:tc>
          <w:tcPr>
            <w:tcW w:w="872" w:type="pct"/>
            <w:tcBorders>
              <w:tl2br w:val="nil"/>
              <w:tr2bl w:val="nil"/>
            </w:tcBorders>
            <w:noWrap w:val="0"/>
            <w:vAlign w:val="center"/>
          </w:tcPr>
          <w:p w14:paraId="08191999">
            <w:pPr>
              <w:keepNext w:val="0"/>
              <w:keepLines w:val="0"/>
              <w:pageBreakBefore w:val="0"/>
              <w:kinsoku/>
              <w:wordWrap/>
              <w:overflowPunct/>
              <w:topLinePunct w:val="0"/>
              <w:bidi w:val="0"/>
              <w:snapToGrid w:val="0"/>
              <w:spacing w:line="240" w:lineRule="auto"/>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2025-02-13</w:t>
            </w:r>
          </w:p>
        </w:tc>
        <w:tc>
          <w:tcPr>
            <w:tcW w:w="826" w:type="pct"/>
            <w:tcBorders>
              <w:tl2br w:val="nil"/>
              <w:tr2bl w:val="nil"/>
            </w:tcBorders>
            <w:noWrap w:val="0"/>
            <w:vAlign w:val="center"/>
          </w:tcPr>
          <w:p w14:paraId="02C56D13">
            <w:pPr>
              <w:keepNext w:val="0"/>
              <w:keepLines w:val="0"/>
              <w:pageBreakBefore w:val="0"/>
              <w:kinsoku/>
              <w:wordWrap/>
              <w:overflowPunct/>
              <w:topLinePunct w:val="0"/>
              <w:bidi w:val="0"/>
              <w:snapToGrid w:val="0"/>
              <w:spacing w:line="240" w:lineRule="auto"/>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2025-02-14</w:t>
            </w:r>
          </w:p>
        </w:tc>
        <w:tc>
          <w:tcPr>
            <w:tcW w:w="926" w:type="pct"/>
            <w:tcBorders>
              <w:tl2br w:val="nil"/>
              <w:tr2bl w:val="nil"/>
            </w:tcBorders>
            <w:noWrap w:val="0"/>
            <w:vAlign w:val="center"/>
          </w:tcPr>
          <w:p w14:paraId="574DCF5A">
            <w:pPr>
              <w:keepNext w:val="0"/>
              <w:keepLines w:val="0"/>
              <w:pageBreakBefore w:val="0"/>
              <w:kinsoku/>
              <w:wordWrap/>
              <w:overflowPunct/>
              <w:topLinePunct w:val="0"/>
              <w:bidi w:val="0"/>
              <w:snapToGrid w:val="0"/>
              <w:spacing w:line="240" w:lineRule="auto"/>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lang w:val="en-US" w:eastAsia="zh-CN"/>
              </w:rPr>
              <w:t>2025-02-13</w:t>
            </w:r>
          </w:p>
        </w:tc>
        <w:tc>
          <w:tcPr>
            <w:tcW w:w="936" w:type="pct"/>
            <w:tcBorders>
              <w:tl2br w:val="nil"/>
              <w:tr2bl w:val="nil"/>
            </w:tcBorders>
            <w:noWrap w:val="0"/>
            <w:vAlign w:val="center"/>
          </w:tcPr>
          <w:p w14:paraId="53A0E7E9">
            <w:pPr>
              <w:keepNext w:val="0"/>
              <w:keepLines w:val="0"/>
              <w:pageBreakBefore w:val="0"/>
              <w:kinsoku/>
              <w:wordWrap/>
              <w:overflowPunct/>
              <w:topLinePunct w:val="0"/>
              <w:bidi w:val="0"/>
              <w:snapToGrid w:val="0"/>
              <w:spacing w:line="240" w:lineRule="auto"/>
              <w:jc w:val="center"/>
              <w:rPr>
                <w:rFonts w:hint="eastAsia" w:ascii="宋体" w:hAnsi="宋体" w:eastAsia="宋体" w:cs="宋体"/>
                <w:b/>
                <w:bCs/>
                <w:color w:val="000000"/>
                <w:sz w:val="21"/>
                <w:szCs w:val="21"/>
                <w:lang w:eastAsia="zh-CN"/>
              </w:rPr>
            </w:pPr>
            <w:r>
              <w:rPr>
                <w:rFonts w:hint="eastAsia" w:ascii="宋体" w:hAnsi="宋体" w:eastAsia="宋体" w:cs="宋体"/>
                <w:b/>
                <w:bCs/>
                <w:color w:val="000000"/>
                <w:sz w:val="21"/>
                <w:szCs w:val="21"/>
                <w:lang w:val="en-US" w:eastAsia="zh-CN"/>
              </w:rPr>
              <w:t>2025-02-14</w:t>
            </w:r>
          </w:p>
        </w:tc>
      </w:tr>
      <w:tr w14:paraId="58693B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right"/>
        </w:trPr>
        <w:tc>
          <w:tcPr>
            <w:tcW w:w="460" w:type="pct"/>
            <w:tcBorders>
              <w:tl2br w:val="nil"/>
              <w:tr2bl w:val="nil"/>
            </w:tcBorders>
            <w:noWrap w:val="0"/>
            <w:vAlign w:val="center"/>
          </w:tcPr>
          <w:p w14:paraId="031E97DF">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N1</w:t>
            </w:r>
          </w:p>
        </w:tc>
        <w:tc>
          <w:tcPr>
            <w:tcW w:w="468" w:type="pct"/>
            <w:tcBorders>
              <w:tl2br w:val="nil"/>
              <w:tr2bl w:val="nil"/>
            </w:tcBorders>
            <w:noWrap w:val="0"/>
            <w:vAlign w:val="center"/>
          </w:tcPr>
          <w:p w14:paraId="451E5EA5">
            <w:pPr>
              <w:keepNext w:val="0"/>
              <w:keepLines w:val="0"/>
              <w:pageBreakBefore w:val="0"/>
              <w:kinsoku/>
              <w:wordWrap/>
              <w:overflowPunct/>
              <w:topLinePunct w:val="0"/>
              <w:bidi w:val="0"/>
              <w:snapToGrid w:val="0"/>
              <w:spacing w:line="240" w:lineRule="auto"/>
              <w:jc w:val="center"/>
              <w:rPr>
                <w:rFonts w:hint="eastAsia" w:ascii="宋体" w:hAnsi="宋体" w:eastAsia="宋体" w:cs="宋体"/>
                <w:kern w:val="0"/>
                <w:sz w:val="21"/>
                <w:szCs w:val="21"/>
                <w:lang w:eastAsia="zh-CN"/>
              </w:rPr>
            </w:pPr>
            <w:r>
              <w:rPr>
                <w:rFonts w:hint="eastAsia" w:ascii="宋体" w:hAnsi="宋体" w:eastAsia="宋体" w:cs="宋体"/>
                <w:color w:val="auto"/>
                <w:sz w:val="21"/>
                <w:szCs w:val="21"/>
              </w:rPr>
              <w:t>厂界东</w:t>
            </w:r>
            <w:r>
              <w:rPr>
                <w:rFonts w:hint="eastAsia" w:ascii="宋体" w:hAnsi="宋体" w:eastAsia="宋体" w:cs="宋体"/>
                <w:color w:val="auto"/>
                <w:sz w:val="21"/>
                <w:szCs w:val="21"/>
                <w:lang w:val="en-US" w:eastAsia="zh-CN"/>
              </w:rPr>
              <w:t>侧</w:t>
            </w:r>
          </w:p>
        </w:tc>
        <w:tc>
          <w:tcPr>
            <w:tcW w:w="508" w:type="pct"/>
            <w:vMerge w:val="restart"/>
            <w:tcBorders>
              <w:tl2br w:val="nil"/>
              <w:tr2bl w:val="nil"/>
            </w:tcBorders>
            <w:noWrap w:val="0"/>
            <w:vAlign w:val="center"/>
          </w:tcPr>
          <w:p w14:paraId="41AB9BA4">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kern w:val="0"/>
                <w:sz w:val="21"/>
                <w:szCs w:val="21"/>
                <w:lang w:eastAsia="zh-CN"/>
              </w:rPr>
              <w:t>厂界环境噪声</w:t>
            </w:r>
          </w:p>
        </w:tc>
        <w:tc>
          <w:tcPr>
            <w:tcW w:w="872" w:type="pct"/>
            <w:tcBorders>
              <w:tl2br w:val="nil"/>
              <w:tr2bl w:val="nil"/>
            </w:tcBorders>
            <w:shd w:val="clear" w:color="auto" w:fill="auto"/>
            <w:noWrap w:val="0"/>
            <w:vAlign w:val="center"/>
          </w:tcPr>
          <w:p w14:paraId="796E8F3D">
            <w:pPr>
              <w:keepNext w:val="0"/>
              <w:keepLines w:val="0"/>
              <w:pageBreakBefore w:val="0"/>
              <w:widowControl/>
              <w:suppressLineNumbers w:val="0"/>
              <w:kinsoku/>
              <w:wordWrap/>
              <w:overflowPunct/>
              <w:topLinePunct w:val="0"/>
              <w:bidi w:val="0"/>
              <w:snapToGrid w:val="0"/>
              <w:spacing w:line="240" w:lineRule="auto"/>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54</w:t>
            </w:r>
          </w:p>
        </w:tc>
        <w:tc>
          <w:tcPr>
            <w:tcW w:w="826" w:type="pct"/>
            <w:tcBorders>
              <w:tl2br w:val="nil"/>
              <w:tr2bl w:val="nil"/>
            </w:tcBorders>
            <w:noWrap w:val="0"/>
            <w:vAlign w:val="center"/>
          </w:tcPr>
          <w:p w14:paraId="41BD6D30">
            <w:pPr>
              <w:keepNext w:val="0"/>
              <w:keepLines w:val="0"/>
              <w:pageBreakBefore w:val="0"/>
              <w:widowControl/>
              <w:suppressLineNumbers w:val="0"/>
              <w:kinsoku/>
              <w:wordWrap/>
              <w:overflowPunct/>
              <w:topLinePunct w:val="0"/>
              <w:bidi w:val="0"/>
              <w:snapToGrid w:val="0"/>
              <w:spacing w:line="240" w:lineRule="auto"/>
              <w:jc w:val="center"/>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52</w:t>
            </w:r>
          </w:p>
        </w:tc>
        <w:tc>
          <w:tcPr>
            <w:tcW w:w="926" w:type="pct"/>
            <w:tcBorders>
              <w:tl2br w:val="nil"/>
              <w:tr2bl w:val="nil"/>
            </w:tcBorders>
            <w:noWrap w:val="0"/>
            <w:vAlign w:val="center"/>
          </w:tcPr>
          <w:p w14:paraId="5B05409F">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52</w:t>
            </w:r>
          </w:p>
        </w:tc>
        <w:tc>
          <w:tcPr>
            <w:tcW w:w="936" w:type="pct"/>
            <w:tcBorders>
              <w:tl2br w:val="nil"/>
              <w:tr2bl w:val="nil"/>
            </w:tcBorders>
            <w:noWrap w:val="0"/>
            <w:vAlign w:val="center"/>
          </w:tcPr>
          <w:p w14:paraId="0428F516">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50</w:t>
            </w:r>
          </w:p>
        </w:tc>
      </w:tr>
      <w:tr w14:paraId="04C01F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right"/>
        </w:trPr>
        <w:tc>
          <w:tcPr>
            <w:tcW w:w="460" w:type="pct"/>
            <w:tcBorders>
              <w:tl2br w:val="nil"/>
              <w:tr2bl w:val="nil"/>
            </w:tcBorders>
            <w:noWrap w:val="0"/>
            <w:vAlign w:val="center"/>
          </w:tcPr>
          <w:p w14:paraId="00E5E52F">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N2</w:t>
            </w:r>
          </w:p>
        </w:tc>
        <w:tc>
          <w:tcPr>
            <w:tcW w:w="468" w:type="pct"/>
            <w:tcBorders>
              <w:tl2br w:val="nil"/>
              <w:tr2bl w:val="nil"/>
            </w:tcBorders>
            <w:noWrap w:val="0"/>
            <w:vAlign w:val="center"/>
          </w:tcPr>
          <w:p w14:paraId="72869BAA">
            <w:pPr>
              <w:keepNext w:val="0"/>
              <w:keepLines w:val="0"/>
              <w:pageBreakBefore w:val="0"/>
              <w:kinsoku/>
              <w:wordWrap/>
              <w:overflowPunct/>
              <w:topLinePunct w:val="0"/>
              <w:bidi w:val="0"/>
              <w:snapToGrid w:val="0"/>
              <w:spacing w:line="240" w:lineRule="auto"/>
              <w:jc w:val="center"/>
              <w:rPr>
                <w:rFonts w:hint="eastAsia" w:ascii="宋体" w:hAnsi="宋体" w:eastAsia="宋体" w:cs="宋体"/>
                <w:kern w:val="0"/>
                <w:sz w:val="21"/>
                <w:szCs w:val="21"/>
              </w:rPr>
            </w:pPr>
            <w:r>
              <w:rPr>
                <w:rFonts w:hint="eastAsia" w:ascii="宋体" w:hAnsi="宋体" w:eastAsia="宋体" w:cs="宋体"/>
                <w:color w:val="auto"/>
                <w:sz w:val="21"/>
                <w:szCs w:val="21"/>
              </w:rPr>
              <w:t>厂界南</w:t>
            </w:r>
            <w:r>
              <w:rPr>
                <w:rFonts w:hint="eastAsia" w:ascii="宋体" w:hAnsi="宋体" w:eastAsia="宋体" w:cs="宋体"/>
                <w:color w:val="auto"/>
                <w:sz w:val="21"/>
                <w:szCs w:val="21"/>
                <w:lang w:val="en-US" w:eastAsia="zh-CN"/>
              </w:rPr>
              <w:t>侧</w:t>
            </w:r>
          </w:p>
        </w:tc>
        <w:tc>
          <w:tcPr>
            <w:tcW w:w="508" w:type="pct"/>
            <w:vMerge w:val="continue"/>
            <w:tcBorders>
              <w:tl2br w:val="nil"/>
              <w:tr2bl w:val="nil"/>
            </w:tcBorders>
            <w:noWrap w:val="0"/>
            <w:vAlign w:val="center"/>
          </w:tcPr>
          <w:p w14:paraId="157F5BB7">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color w:val="000000"/>
                <w:kern w:val="0"/>
                <w:sz w:val="21"/>
                <w:szCs w:val="21"/>
                <w:lang w:val="en-US" w:eastAsia="zh-CN"/>
              </w:rPr>
            </w:pPr>
          </w:p>
        </w:tc>
        <w:tc>
          <w:tcPr>
            <w:tcW w:w="872" w:type="pct"/>
            <w:tcBorders>
              <w:tl2br w:val="nil"/>
              <w:tr2bl w:val="nil"/>
            </w:tcBorders>
            <w:shd w:val="clear" w:color="auto" w:fill="auto"/>
            <w:noWrap w:val="0"/>
            <w:vAlign w:val="center"/>
          </w:tcPr>
          <w:p w14:paraId="52ED0216">
            <w:pPr>
              <w:keepNext w:val="0"/>
              <w:keepLines w:val="0"/>
              <w:pageBreakBefore w:val="0"/>
              <w:widowControl/>
              <w:suppressLineNumbers w:val="0"/>
              <w:kinsoku/>
              <w:wordWrap/>
              <w:overflowPunct/>
              <w:topLinePunct w:val="0"/>
              <w:bidi w:val="0"/>
              <w:snapToGrid w:val="0"/>
              <w:spacing w:line="240" w:lineRule="auto"/>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45</w:t>
            </w:r>
          </w:p>
        </w:tc>
        <w:tc>
          <w:tcPr>
            <w:tcW w:w="826" w:type="pct"/>
            <w:tcBorders>
              <w:tl2br w:val="nil"/>
              <w:tr2bl w:val="nil"/>
            </w:tcBorders>
            <w:noWrap w:val="0"/>
            <w:vAlign w:val="center"/>
          </w:tcPr>
          <w:p w14:paraId="106F8B1F">
            <w:pPr>
              <w:keepNext w:val="0"/>
              <w:keepLines w:val="0"/>
              <w:pageBreakBefore w:val="0"/>
              <w:widowControl/>
              <w:suppressLineNumbers w:val="0"/>
              <w:kinsoku/>
              <w:wordWrap/>
              <w:overflowPunct/>
              <w:topLinePunct w:val="0"/>
              <w:bidi w:val="0"/>
              <w:snapToGrid w:val="0"/>
              <w:spacing w:line="240" w:lineRule="auto"/>
              <w:jc w:val="center"/>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46</w:t>
            </w:r>
          </w:p>
        </w:tc>
        <w:tc>
          <w:tcPr>
            <w:tcW w:w="926" w:type="pct"/>
            <w:tcBorders>
              <w:tl2br w:val="nil"/>
              <w:tr2bl w:val="nil"/>
            </w:tcBorders>
            <w:noWrap w:val="0"/>
            <w:vAlign w:val="center"/>
          </w:tcPr>
          <w:p w14:paraId="0E4198FB">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46</w:t>
            </w:r>
          </w:p>
        </w:tc>
        <w:tc>
          <w:tcPr>
            <w:tcW w:w="936" w:type="pct"/>
            <w:tcBorders>
              <w:tl2br w:val="nil"/>
              <w:tr2bl w:val="nil"/>
            </w:tcBorders>
            <w:noWrap w:val="0"/>
            <w:vAlign w:val="center"/>
          </w:tcPr>
          <w:p w14:paraId="41C27F75">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52</w:t>
            </w:r>
          </w:p>
        </w:tc>
      </w:tr>
      <w:tr w14:paraId="49CC8D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right"/>
        </w:trPr>
        <w:tc>
          <w:tcPr>
            <w:tcW w:w="460" w:type="pct"/>
            <w:tcBorders>
              <w:tl2br w:val="nil"/>
              <w:tr2bl w:val="nil"/>
            </w:tcBorders>
            <w:noWrap w:val="0"/>
            <w:vAlign w:val="center"/>
          </w:tcPr>
          <w:p w14:paraId="379DE075">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N3</w:t>
            </w:r>
          </w:p>
        </w:tc>
        <w:tc>
          <w:tcPr>
            <w:tcW w:w="468" w:type="pct"/>
            <w:tcBorders>
              <w:tl2br w:val="nil"/>
              <w:tr2bl w:val="nil"/>
            </w:tcBorders>
            <w:noWrap w:val="0"/>
            <w:vAlign w:val="center"/>
          </w:tcPr>
          <w:p w14:paraId="46AA4F83">
            <w:pPr>
              <w:keepNext w:val="0"/>
              <w:keepLines w:val="0"/>
              <w:pageBreakBefore w:val="0"/>
              <w:kinsoku/>
              <w:wordWrap/>
              <w:overflowPunct/>
              <w:topLinePunct w:val="0"/>
              <w:bidi w:val="0"/>
              <w:snapToGrid w:val="0"/>
              <w:spacing w:line="240" w:lineRule="auto"/>
              <w:jc w:val="center"/>
              <w:rPr>
                <w:rFonts w:hint="eastAsia" w:ascii="宋体" w:hAnsi="宋体" w:eastAsia="宋体" w:cs="宋体"/>
                <w:kern w:val="0"/>
                <w:sz w:val="21"/>
                <w:szCs w:val="21"/>
                <w:lang w:eastAsia="zh-CN"/>
              </w:rPr>
            </w:pPr>
            <w:r>
              <w:rPr>
                <w:rFonts w:hint="eastAsia" w:ascii="宋体" w:hAnsi="宋体" w:eastAsia="宋体" w:cs="宋体"/>
                <w:color w:val="auto"/>
                <w:sz w:val="21"/>
                <w:szCs w:val="21"/>
              </w:rPr>
              <w:t>厂界西</w:t>
            </w:r>
            <w:r>
              <w:rPr>
                <w:rFonts w:hint="eastAsia" w:ascii="宋体" w:hAnsi="宋体" w:eastAsia="宋体" w:cs="宋体"/>
                <w:color w:val="auto"/>
                <w:sz w:val="21"/>
                <w:szCs w:val="21"/>
                <w:lang w:val="en-US" w:eastAsia="zh-CN"/>
              </w:rPr>
              <w:t>侧</w:t>
            </w:r>
          </w:p>
        </w:tc>
        <w:tc>
          <w:tcPr>
            <w:tcW w:w="508" w:type="pct"/>
            <w:vMerge w:val="continue"/>
            <w:tcBorders>
              <w:tl2br w:val="nil"/>
              <w:tr2bl w:val="nil"/>
            </w:tcBorders>
            <w:noWrap w:val="0"/>
            <w:vAlign w:val="center"/>
          </w:tcPr>
          <w:p w14:paraId="3BC8A46F">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color w:val="000000"/>
                <w:kern w:val="0"/>
                <w:sz w:val="21"/>
                <w:szCs w:val="21"/>
                <w:lang w:val="en-US" w:eastAsia="zh-CN"/>
              </w:rPr>
            </w:pPr>
          </w:p>
        </w:tc>
        <w:tc>
          <w:tcPr>
            <w:tcW w:w="872" w:type="pct"/>
            <w:tcBorders>
              <w:tl2br w:val="nil"/>
              <w:tr2bl w:val="nil"/>
            </w:tcBorders>
            <w:shd w:val="clear" w:color="auto" w:fill="auto"/>
            <w:noWrap w:val="0"/>
            <w:vAlign w:val="center"/>
          </w:tcPr>
          <w:p w14:paraId="61F6CEA4">
            <w:pPr>
              <w:keepNext w:val="0"/>
              <w:keepLines w:val="0"/>
              <w:pageBreakBefore w:val="0"/>
              <w:widowControl/>
              <w:suppressLineNumbers w:val="0"/>
              <w:kinsoku/>
              <w:wordWrap/>
              <w:overflowPunct/>
              <w:topLinePunct w:val="0"/>
              <w:bidi w:val="0"/>
              <w:snapToGrid w:val="0"/>
              <w:spacing w:line="240" w:lineRule="auto"/>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50</w:t>
            </w:r>
          </w:p>
        </w:tc>
        <w:tc>
          <w:tcPr>
            <w:tcW w:w="826" w:type="pct"/>
            <w:tcBorders>
              <w:tl2br w:val="nil"/>
              <w:tr2bl w:val="nil"/>
            </w:tcBorders>
            <w:noWrap w:val="0"/>
            <w:vAlign w:val="center"/>
          </w:tcPr>
          <w:p w14:paraId="5AF4331A">
            <w:pPr>
              <w:keepNext w:val="0"/>
              <w:keepLines w:val="0"/>
              <w:pageBreakBefore w:val="0"/>
              <w:widowControl/>
              <w:suppressLineNumbers w:val="0"/>
              <w:kinsoku/>
              <w:wordWrap/>
              <w:overflowPunct/>
              <w:topLinePunct w:val="0"/>
              <w:bidi w:val="0"/>
              <w:snapToGrid w:val="0"/>
              <w:spacing w:line="240" w:lineRule="auto"/>
              <w:jc w:val="center"/>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57</w:t>
            </w:r>
          </w:p>
        </w:tc>
        <w:tc>
          <w:tcPr>
            <w:tcW w:w="926" w:type="pct"/>
            <w:tcBorders>
              <w:tl2br w:val="nil"/>
              <w:tr2bl w:val="nil"/>
            </w:tcBorders>
            <w:noWrap w:val="0"/>
            <w:vAlign w:val="center"/>
          </w:tcPr>
          <w:p w14:paraId="70ABE3C1">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47</w:t>
            </w:r>
          </w:p>
        </w:tc>
        <w:tc>
          <w:tcPr>
            <w:tcW w:w="936" w:type="pct"/>
            <w:tcBorders>
              <w:tl2br w:val="nil"/>
              <w:tr2bl w:val="nil"/>
            </w:tcBorders>
            <w:noWrap w:val="0"/>
            <w:vAlign w:val="center"/>
          </w:tcPr>
          <w:p w14:paraId="49F727E0">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48</w:t>
            </w:r>
          </w:p>
        </w:tc>
      </w:tr>
      <w:tr w14:paraId="5EFA23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right"/>
        </w:trPr>
        <w:tc>
          <w:tcPr>
            <w:tcW w:w="460" w:type="pct"/>
            <w:tcBorders>
              <w:tl2br w:val="nil"/>
              <w:tr2bl w:val="nil"/>
            </w:tcBorders>
            <w:noWrap w:val="0"/>
            <w:vAlign w:val="center"/>
          </w:tcPr>
          <w:p w14:paraId="7EE56CFC">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N4</w:t>
            </w:r>
          </w:p>
        </w:tc>
        <w:tc>
          <w:tcPr>
            <w:tcW w:w="468" w:type="pct"/>
            <w:tcBorders>
              <w:tl2br w:val="nil"/>
              <w:tr2bl w:val="nil"/>
            </w:tcBorders>
            <w:noWrap w:val="0"/>
            <w:vAlign w:val="center"/>
          </w:tcPr>
          <w:p w14:paraId="1097B1BC">
            <w:pPr>
              <w:keepNext w:val="0"/>
              <w:keepLines w:val="0"/>
              <w:pageBreakBefore w:val="0"/>
              <w:kinsoku/>
              <w:wordWrap/>
              <w:overflowPunct/>
              <w:topLinePunct w:val="0"/>
              <w:bidi w:val="0"/>
              <w:snapToGrid w:val="0"/>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color w:val="auto"/>
                <w:sz w:val="21"/>
                <w:szCs w:val="21"/>
              </w:rPr>
              <w:t>厂界北</w:t>
            </w:r>
            <w:r>
              <w:rPr>
                <w:rFonts w:hint="eastAsia" w:ascii="宋体" w:hAnsi="宋体" w:eastAsia="宋体" w:cs="宋体"/>
                <w:color w:val="auto"/>
                <w:sz w:val="21"/>
                <w:szCs w:val="21"/>
                <w:lang w:val="en-US" w:eastAsia="zh-CN"/>
              </w:rPr>
              <w:t>侧</w:t>
            </w:r>
          </w:p>
        </w:tc>
        <w:tc>
          <w:tcPr>
            <w:tcW w:w="508" w:type="pct"/>
            <w:vMerge w:val="continue"/>
            <w:tcBorders>
              <w:tl2br w:val="nil"/>
              <w:tr2bl w:val="nil"/>
            </w:tcBorders>
            <w:noWrap w:val="0"/>
            <w:vAlign w:val="center"/>
          </w:tcPr>
          <w:p w14:paraId="2ABF28B2">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color w:val="000000"/>
                <w:kern w:val="0"/>
                <w:sz w:val="21"/>
                <w:szCs w:val="21"/>
                <w:lang w:val="en-US" w:eastAsia="zh-CN"/>
              </w:rPr>
            </w:pPr>
          </w:p>
        </w:tc>
        <w:tc>
          <w:tcPr>
            <w:tcW w:w="872" w:type="pct"/>
            <w:tcBorders>
              <w:tl2br w:val="nil"/>
              <w:tr2bl w:val="nil"/>
            </w:tcBorders>
            <w:shd w:val="clear" w:color="auto" w:fill="auto"/>
            <w:noWrap w:val="0"/>
            <w:vAlign w:val="center"/>
          </w:tcPr>
          <w:p w14:paraId="5E18D62E">
            <w:pPr>
              <w:keepNext w:val="0"/>
              <w:keepLines w:val="0"/>
              <w:pageBreakBefore w:val="0"/>
              <w:widowControl/>
              <w:suppressLineNumbers w:val="0"/>
              <w:kinsoku/>
              <w:wordWrap/>
              <w:overflowPunct/>
              <w:topLinePunct w:val="0"/>
              <w:bidi w:val="0"/>
              <w:snapToGrid w:val="0"/>
              <w:spacing w:line="240" w:lineRule="auto"/>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63</w:t>
            </w:r>
          </w:p>
        </w:tc>
        <w:tc>
          <w:tcPr>
            <w:tcW w:w="826" w:type="pct"/>
            <w:tcBorders>
              <w:tl2br w:val="nil"/>
              <w:tr2bl w:val="nil"/>
            </w:tcBorders>
            <w:noWrap w:val="0"/>
            <w:vAlign w:val="center"/>
          </w:tcPr>
          <w:p w14:paraId="62E11613">
            <w:pPr>
              <w:keepNext w:val="0"/>
              <w:keepLines w:val="0"/>
              <w:pageBreakBefore w:val="0"/>
              <w:widowControl/>
              <w:suppressLineNumbers w:val="0"/>
              <w:kinsoku/>
              <w:wordWrap/>
              <w:overflowPunct/>
              <w:topLinePunct w:val="0"/>
              <w:bidi w:val="0"/>
              <w:snapToGrid w:val="0"/>
              <w:spacing w:line="240" w:lineRule="auto"/>
              <w:jc w:val="center"/>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54</w:t>
            </w:r>
          </w:p>
        </w:tc>
        <w:tc>
          <w:tcPr>
            <w:tcW w:w="926" w:type="pct"/>
            <w:tcBorders>
              <w:tl2br w:val="nil"/>
              <w:tr2bl w:val="nil"/>
            </w:tcBorders>
            <w:noWrap w:val="0"/>
            <w:vAlign w:val="center"/>
          </w:tcPr>
          <w:p w14:paraId="6D1D857C">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53</w:t>
            </w:r>
          </w:p>
        </w:tc>
        <w:tc>
          <w:tcPr>
            <w:tcW w:w="936" w:type="pct"/>
            <w:tcBorders>
              <w:tl2br w:val="nil"/>
              <w:tr2bl w:val="nil"/>
            </w:tcBorders>
            <w:noWrap w:val="0"/>
            <w:vAlign w:val="center"/>
          </w:tcPr>
          <w:p w14:paraId="0DFC5358">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52</w:t>
            </w:r>
          </w:p>
        </w:tc>
      </w:tr>
      <w:tr w14:paraId="3077C5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right"/>
        </w:trPr>
        <w:tc>
          <w:tcPr>
            <w:tcW w:w="1437" w:type="pct"/>
            <w:gridSpan w:val="3"/>
            <w:tcBorders>
              <w:tl2br w:val="nil"/>
              <w:tr2bl w:val="nil"/>
            </w:tcBorders>
            <w:noWrap w:val="0"/>
            <w:vAlign w:val="center"/>
          </w:tcPr>
          <w:p w14:paraId="56CF997E">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备注</w:t>
            </w:r>
          </w:p>
        </w:tc>
        <w:tc>
          <w:tcPr>
            <w:tcW w:w="3562" w:type="pct"/>
            <w:gridSpan w:val="4"/>
            <w:tcBorders>
              <w:tl2br w:val="nil"/>
              <w:tr2bl w:val="nil"/>
            </w:tcBorders>
            <w:noWrap w:val="0"/>
            <w:vAlign w:val="center"/>
          </w:tcPr>
          <w:p w14:paraId="730577A6">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sz w:val="21"/>
                <w:szCs w:val="21"/>
                <w:lang w:val="en-US" w:eastAsia="zh-CN"/>
              </w:rPr>
              <w:t>2025-02-13</w:t>
            </w:r>
            <w:r>
              <w:rPr>
                <w:rFonts w:hint="eastAsia" w:ascii="宋体" w:hAnsi="宋体" w:eastAsia="宋体" w:cs="宋体"/>
                <w:color w:val="000000"/>
                <w:kern w:val="0"/>
                <w:sz w:val="21"/>
                <w:szCs w:val="21"/>
                <w:lang w:val="en-US" w:eastAsia="zh-CN"/>
              </w:rPr>
              <w:t>昼间天气晴，风速2.0m/s；夜间天气晴，风速1.8m/s；</w:t>
            </w:r>
          </w:p>
          <w:p w14:paraId="3BABCE8C">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sz w:val="21"/>
                <w:szCs w:val="21"/>
                <w:lang w:val="en-US" w:eastAsia="zh-CN"/>
              </w:rPr>
              <w:t>2025-02-14</w:t>
            </w:r>
            <w:r>
              <w:rPr>
                <w:rFonts w:hint="eastAsia" w:ascii="宋体" w:hAnsi="宋体" w:eastAsia="宋体" w:cs="宋体"/>
                <w:color w:val="000000"/>
                <w:kern w:val="0"/>
                <w:sz w:val="21"/>
                <w:szCs w:val="21"/>
                <w:lang w:val="en-US" w:eastAsia="zh-CN"/>
              </w:rPr>
              <w:t>昼间天气阴，风速1.9m/s；夜间天气阴，风速1.8m/s。</w:t>
            </w:r>
          </w:p>
        </w:tc>
      </w:tr>
    </w:tbl>
    <w:p w14:paraId="5F5E17AB">
      <w:pPr>
        <w:pStyle w:val="35"/>
        <w:keepNext w:val="0"/>
        <w:keepLines w:val="0"/>
        <w:pageBreakBefore w:val="0"/>
        <w:widowControl w:val="0"/>
        <w:kinsoku/>
        <w:wordWrap/>
        <w:overflowPunct w:val="0"/>
        <w:topLinePunct w:val="0"/>
        <w:autoSpaceDE w:val="0"/>
        <w:autoSpaceDN w:val="0"/>
        <w:bidi w:val="0"/>
        <w:adjustRightInd w:val="0"/>
        <w:snapToGrid/>
        <w:spacing w:before="0" w:after="0"/>
        <w:textAlignment w:val="baseline"/>
        <w:rPr>
          <w:rFonts w:hint="eastAsia" w:ascii="宋体" w:hAnsi="宋体" w:eastAsia="宋体" w:cs="宋体"/>
        </w:rPr>
      </w:pPr>
      <w:r>
        <w:rPr>
          <w:rFonts w:hint="eastAsia" w:ascii="宋体" w:hAnsi="宋体" w:eastAsia="宋体" w:cs="宋体"/>
        </w:rPr>
        <w:t>表</w:t>
      </w:r>
      <w:r>
        <w:rPr>
          <w:rFonts w:hint="eastAsia" w:ascii="宋体" w:hAnsi="宋体" w:eastAsia="宋体" w:cs="宋体"/>
          <w:lang w:val="en-US" w:eastAsia="zh-CN"/>
        </w:rPr>
        <w:t>9.5-2</w:t>
      </w:r>
      <w:r>
        <w:rPr>
          <w:rFonts w:hint="eastAsia" w:ascii="宋体" w:hAnsi="宋体" w:eastAsia="宋体" w:cs="宋体"/>
        </w:rPr>
        <w:t xml:space="preserve">  </w:t>
      </w:r>
      <w:r>
        <w:rPr>
          <w:rFonts w:hint="eastAsia"/>
          <w:lang w:val="en-US" w:eastAsia="zh-CN"/>
        </w:rPr>
        <w:t>敏感点</w:t>
      </w:r>
      <w:r>
        <w:rPr>
          <w:rFonts w:hint="eastAsia" w:ascii="宋体" w:hAnsi="宋体" w:eastAsia="宋体" w:cs="宋体"/>
        </w:rPr>
        <w:t>噪声</w:t>
      </w:r>
      <w:r>
        <w:rPr>
          <w:rFonts w:hint="eastAsia" w:cs="宋体"/>
          <w:lang w:eastAsia="zh-CN"/>
        </w:rPr>
        <w:t>监测</w:t>
      </w:r>
      <w:r>
        <w:rPr>
          <w:rFonts w:hint="eastAsia" w:ascii="宋体" w:hAnsi="宋体" w:eastAsia="宋体" w:cs="宋体"/>
        </w:rPr>
        <w:t>结果</w:t>
      </w:r>
    </w:p>
    <w:tbl>
      <w:tblPr>
        <w:tblStyle w:val="19"/>
        <w:tblW w:w="4998" w:type="pct"/>
        <w:jc w:val="right"/>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808"/>
        <w:gridCol w:w="883"/>
        <w:gridCol w:w="1474"/>
        <w:gridCol w:w="1394"/>
        <w:gridCol w:w="1605"/>
        <w:gridCol w:w="1583"/>
      </w:tblGrid>
      <w:tr w14:paraId="59CC67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right"/>
        </w:trPr>
        <w:tc>
          <w:tcPr>
            <w:tcW w:w="453" w:type="pct"/>
            <w:vMerge w:val="restart"/>
            <w:tcBorders>
              <w:tl2br w:val="nil"/>
              <w:tr2bl w:val="nil"/>
            </w:tcBorders>
            <w:noWrap w:val="0"/>
            <w:vAlign w:val="center"/>
          </w:tcPr>
          <w:p w14:paraId="75E5B651">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b/>
                <w:bCs/>
                <w:color w:val="000000"/>
                <w:sz w:val="21"/>
                <w:szCs w:val="21"/>
                <w:lang w:eastAsia="zh-CN"/>
              </w:rPr>
            </w:pPr>
            <w:r>
              <w:rPr>
                <w:rFonts w:hint="eastAsia" w:ascii="宋体" w:hAnsi="宋体" w:eastAsia="宋体" w:cs="宋体"/>
                <w:b/>
                <w:bCs/>
                <w:color w:val="000000"/>
                <w:sz w:val="21"/>
                <w:szCs w:val="21"/>
              </w:rPr>
              <w:t>测点号</w:t>
            </w:r>
          </w:p>
        </w:tc>
        <w:tc>
          <w:tcPr>
            <w:tcW w:w="474" w:type="pct"/>
            <w:vMerge w:val="restart"/>
            <w:tcBorders>
              <w:tl2br w:val="nil"/>
              <w:tr2bl w:val="nil"/>
            </w:tcBorders>
            <w:noWrap w:val="0"/>
            <w:vAlign w:val="center"/>
          </w:tcPr>
          <w:p w14:paraId="617CED17">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测点</w:t>
            </w:r>
          </w:p>
          <w:p w14:paraId="14BA0087">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位置</w:t>
            </w:r>
          </w:p>
        </w:tc>
        <w:tc>
          <w:tcPr>
            <w:tcW w:w="517" w:type="pct"/>
            <w:vMerge w:val="restart"/>
            <w:tcBorders>
              <w:tl2br w:val="nil"/>
              <w:tr2bl w:val="nil"/>
            </w:tcBorders>
            <w:noWrap w:val="0"/>
            <w:vAlign w:val="center"/>
          </w:tcPr>
          <w:p w14:paraId="218A47BB">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b/>
                <w:bCs/>
                <w:sz w:val="21"/>
                <w:szCs w:val="21"/>
                <w:lang w:eastAsia="zh-CN"/>
              </w:rPr>
            </w:pPr>
            <w:r>
              <w:rPr>
                <w:rFonts w:hint="eastAsia" w:ascii="宋体" w:hAnsi="宋体" w:eastAsia="宋体" w:cs="宋体"/>
                <w:b/>
                <w:bCs/>
                <w:color w:val="000000"/>
                <w:sz w:val="21"/>
                <w:szCs w:val="21"/>
              </w:rPr>
              <w:t>主要噪声源</w:t>
            </w:r>
          </w:p>
        </w:tc>
        <w:tc>
          <w:tcPr>
            <w:tcW w:w="1683" w:type="pct"/>
            <w:gridSpan w:val="2"/>
            <w:tcBorders>
              <w:tl2br w:val="nil"/>
              <w:tr2bl w:val="nil"/>
            </w:tcBorders>
            <w:noWrap w:val="0"/>
            <w:vAlign w:val="center"/>
          </w:tcPr>
          <w:p w14:paraId="04697E42">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b/>
                <w:bCs/>
                <w:color w:val="000000"/>
                <w:sz w:val="21"/>
                <w:szCs w:val="21"/>
                <w:lang w:eastAsia="zh-CN"/>
              </w:rPr>
            </w:pPr>
            <w:r>
              <w:rPr>
                <w:rFonts w:hint="eastAsia" w:ascii="宋体" w:hAnsi="宋体" w:eastAsia="宋体" w:cs="宋体"/>
                <w:b/>
                <w:bCs/>
                <w:color w:val="000000"/>
                <w:sz w:val="21"/>
                <w:szCs w:val="21"/>
                <w:lang w:val="en-US" w:eastAsia="zh-CN"/>
              </w:rPr>
              <w:t>昼间</w:t>
            </w:r>
            <w:r>
              <w:rPr>
                <w:rFonts w:hint="eastAsia" w:ascii="宋体" w:hAnsi="宋体" w:eastAsia="宋体" w:cs="宋体"/>
                <w:b/>
                <w:bCs/>
                <w:color w:val="000000"/>
                <w:sz w:val="21"/>
                <w:szCs w:val="21"/>
              </w:rPr>
              <w:t>检测结果</w:t>
            </w:r>
            <w:r>
              <w:rPr>
                <w:rFonts w:hint="eastAsia" w:ascii="宋体" w:hAnsi="宋体" w:eastAsia="宋体" w:cs="宋体"/>
                <w:b/>
                <w:bCs/>
                <w:sz w:val="21"/>
                <w:szCs w:val="21"/>
              </w:rPr>
              <w:t xml:space="preserve"> Leq</w:t>
            </w:r>
            <w:r>
              <w:rPr>
                <w:rFonts w:hint="eastAsia" w:ascii="宋体" w:hAnsi="宋体" w:eastAsia="宋体" w:cs="宋体"/>
                <w:b/>
                <w:bCs/>
                <w:color w:val="000000"/>
                <w:spacing w:val="-12"/>
                <w:kern w:val="0"/>
                <w:sz w:val="21"/>
                <w:szCs w:val="21"/>
                <w:lang w:val="en-US" w:eastAsia="zh-CN"/>
              </w:rPr>
              <w:t>[</w:t>
            </w:r>
            <w:r>
              <w:rPr>
                <w:rFonts w:hint="eastAsia" w:ascii="宋体" w:hAnsi="宋体" w:eastAsia="宋体" w:cs="宋体"/>
                <w:b/>
                <w:bCs/>
                <w:color w:val="000000"/>
                <w:spacing w:val="-12"/>
                <w:kern w:val="0"/>
                <w:sz w:val="21"/>
                <w:szCs w:val="21"/>
              </w:rPr>
              <w:t>dB(A)</w:t>
            </w:r>
            <w:r>
              <w:rPr>
                <w:rFonts w:hint="eastAsia" w:ascii="宋体" w:hAnsi="宋体" w:eastAsia="宋体" w:cs="宋体"/>
                <w:b/>
                <w:bCs/>
                <w:color w:val="000000"/>
                <w:spacing w:val="-12"/>
                <w:kern w:val="0"/>
                <w:sz w:val="21"/>
                <w:szCs w:val="21"/>
                <w:lang w:val="en-US" w:eastAsia="zh-CN"/>
              </w:rPr>
              <w:t>]</w:t>
            </w:r>
          </w:p>
        </w:tc>
        <w:tc>
          <w:tcPr>
            <w:tcW w:w="1871" w:type="pct"/>
            <w:gridSpan w:val="2"/>
            <w:tcBorders>
              <w:tl2br w:val="nil"/>
              <w:tr2bl w:val="nil"/>
            </w:tcBorders>
            <w:noWrap w:val="0"/>
            <w:vAlign w:val="center"/>
          </w:tcPr>
          <w:p w14:paraId="70EE512C">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lang w:val="en-US" w:eastAsia="zh-CN"/>
              </w:rPr>
              <w:t>夜间</w:t>
            </w:r>
            <w:r>
              <w:rPr>
                <w:rFonts w:hint="eastAsia" w:ascii="宋体" w:hAnsi="宋体" w:eastAsia="宋体" w:cs="宋体"/>
                <w:b/>
                <w:bCs/>
                <w:color w:val="000000"/>
                <w:sz w:val="21"/>
                <w:szCs w:val="21"/>
              </w:rPr>
              <w:t>检测结果</w:t>
            </w:r>
            <w:r>
              <w:rPr>
                <w:rFonts w:hint="eastAsia" w:ascii="宋体" w:hAnsi="宋体" w:eastAsia="宋体" w:cs="宋体"/>
                <w:b/>
                <w:bCs/>
                <w:sz w:val="21"/>
                <w:szCs w:val="21"/>
              </w:rPr>
              <w:t xml:space="preserve"> Leq</w:t>
            </w:r>
            <w:r>
              <w:rPr>
                <w:rFonts w:hint="eastAsia" w:ascii="宋体" w:hAnsi="宋体" w:eastAsia="宋体" w:cs="宋体"/>
                <w:b/>
                <w:bCs/>
                <w:color w:val="000000"/>
                <w:spacing w:val="-12"/>
                <w:kern w:val="0"/>
                <w:sz w:val="21"/>
                <w:szCs w:val="21"/>
                <w:lang w:val="en-US" w:eastAsia="zh-CN"/>
              </w:rPr>
              <w:t>[</w:t>
            </w:r>
            <w:r>
              <w:rPr>
                <w:rFonts w:hint="eastAsia" w:ascii="宋体" w:hAnsi="宋体" w:eastAsia="宋体" w:cs="宋体"/>
                <w:b/>
                <w:bCs/>
                <w:color w:val="000000"/>
                <w:spacing w:val="-12"/>
                <w:kern w:val="0"/>
                <w:sz w:val="21"/>
                <w:szCs w:val="21"/>
              </w:rPr>
              <w:t>dB(A)</w:t>
            </w:r>
            <w:r>
              <w:rPr>
                <w:rFonts w:hint="eastAsia" w:ascii="宋体" w:hAnsi="宋体" w:eastAsia="宋体" w:cs="宋体"/>
                <w:b/>
                <w:bCs/>
                <w:color w:val="000000"/>
                <w:spacing w:val="-12"/>
                <w:kern w:val="0"/>
                <w:sz w:val="21"/>
                <w:szCs w:val="21"/>
                <w:lang w:val="en-US" w:eastAsia="zh-CN"/>
              </w:rPr>
              <w:t>]</w:t>
            </w:r>
          </w:p>
        </w:tc>
      </w:tr>
      <w:tr w14:paraId="70D02B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right"/>
        </w:trPr>
        <w:tc>
          <w:tcPr>
            <w:tcW w:w="453" w:type="pct"/>
            <w:vMerge w:val="continue"/>
            <w:tcBorders>
              <w:tl2br w:val="nil"/>
              <w:tr2bl w:val="nil"/>
            </w:tcBorders>
            <w:noWrap w:val="0"/>
            <w:vAlign w:val="center"/>
          </w:tcPr>
          <w:p w14:paraId="71A9092E">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b/>
                <w:bCs/>
                <w:color w:val="000000"/>
                <w:sz w:val="21"/>
                <w:szCs w:val="21"/>
              </w:rPr>
            </w:pPr>
          </w:p>
        </w:tc>
        <w:tc>
          <w:tcPr>
            <w:tcW w:w="474" w:type="pct"/>
            <w:vMerge w:val="continue"/>
            <w:tcBorders>
              <w:tl2br w:val="nil"/>
              <w:tr2bl w:val="nil"/>
            </w:tcBorders>
            <w:noWrap w:val="0"/>
            <w:vAlign w:val="center"/>
          </w:tcPr>
          <w:p w14:paraId="46EDB691">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b/>
                <w:bCs/>
                <w:color w:val="000000"/>
                <w:sz w:val="21"/>
                <w:szCs w:val="21"/>
              </w:rPr>
            </w:pPr>
          </w:p>
        </w:tc>
        <w:tc>
          <w:tcPr>
            <w:tcW w:w="517" w:type="pct"/>
            <w:vMerge w:val="continue"/>
            <w:tcBorders>
              <w:tl2br w:val="nil"/>
              <w:tr2bl w:val="nil"/>
            </w:tcBorders>
            <w:noWrap w:val="0"/>
            <w:vAlign w:val="center"/>
          </w:tcPr>
          <w:p w14:paraId="7C7C2C71">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b/>
                <w:bCs/>
                <w:color w:val="000000"/>
                <w:sz w:val="21"/>
                <w:szCs w:val="21"/>
              </w:rPr>
            </w:pPr>
          </w:p>
        </w:tc>
        <w:tc>
          <w:tcPr>
            <w:tcW w:w="865" w:type="pct"/>
            <w:tcBorders>
              <w:tl2br w:val="nil"/>
              <w:tr2bl w:val="nil"/>
            </w:tcBorders>
            <w:noWrap w:val="0"/>
            <w:vAlign w:val="center"/>
          </w:tcPr>
          <w:p w14:paraId="0D8787F9">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b/>
                <w:bCs/>
                <w:color w:val="000000"/>
                <w:sz w:val="21"/>
                <w:szCs w:val="21"/>
                <w:lang w:eastAsia="zh-CN"/>
              </w:rPr>
            </w:pPr>
            <w:r>
              <w:rPr>
                <w:rFonts w:hint="eastAsia" w:ascii="宋体" w:hAnsi="宋体" w:eastAsia="宋体" w:cs="宋体"/>
                <w:b/>
                <w:bCs/>
                <w:color w:val="000000"/>
                <w:sz w:val="21"/>
                <w:szCs w:val="21"/>
                <w:lang w:val="en-US" w:eastAsia="zh-CN"/>
              </w:rPr>
              <w:t>2025-02-13</w:t>
            </w:r>
          </w:p>
        </w:tc>
        <w:tc>
          <w:tcPr>
            <w:tcW w:w="818" w:type="pct"/>
            <w:tcBorders>
              <w:tl2br w:val="nil"/>
              <w:tr2bl w:val="nil"/>
            </w:tcBorders>
            <w:noWrap w:val="0"/>
            <w:vAlign w:val="center"/>
          </w:tcPr>
          <w:p w14:paraId="4853D7FB">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2025-02-14</w:t>
            </w:r>
          </w:p>
        </w:tc>
        <w:tc>
          <w:tcPr>
            <w:tcW w:w="942" w:type="pct"/>
            <w:tcBorders>
              <w:tl2br w:val="nil"/>
              <w:tr2bl w:val="nil"/>
            </w:tcBorders>
            <w:noWrap w:val="0"/>
            <w:vAlign w:val="center"/>
          </w:tcPr>
          <w:p w14:paraId="294AF3C8">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2025-02-13</w:t>
            </w:r>
          </w:p>
        </w:tc>
        <w:tc>
          <w:tcPr>
            <w:tcW w:w="929" w:type="pct"/>
            <w:tcBorders>
              <w:tl2br w:val="nil"/>
              <w:tr2bl w:val="nil"/>
            </w:tcBorders>
            <w:noWrap w:val="0"/>
            <w:vAlign w:val="center"/>
          </w:tcPr>
          <w:p w14:paraId="0C5FA412">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2025-02-14</w:t>
            </w:r>
          </w:p>
        </w:tc>
      </w:tr>
      <w:tr w14:paraId="011D21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right"/>
        </w:trPr>
        <w:tc>
          <w:tcPr>
            <w:tcW w:w="453" w:type="pct"/>
            <w:tcBorders>
              <w:tl2br w:val="nil"/>
              <w:tr2bl w:val="nil"/>
            </w:tcBorders>
            <w:noWrap w:val="0"/>
            <w:vAlign w:val="center"/>
          </w:tcPr>
          <w:p w14:paraId="4B3229AE">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N5</w:t>
            </w:r>
          </w:p>
        </w:tc>
        <w:tc>
          <w:tcPr>
            <w:tcW w:w="474" w:type="pct"/>
            <w:tcBorders>
              <w:tl2br w:val="nil"/>
              <w:tr2bl w:val="nil"/>
            </w:tcBorders>
            <w:noWrap w:val="0"/>
            <w:vAlign w:val="center"/>
          </w:tcPr>
          <w:p w14:paraId="5430256E">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安王村</w:t>
            </w:r>
          </w:p>
        </w:tc>
        <w:tc>
          <w:tcPr>
            <w:tcW w:w="517" w:type="pct"/>
            <w:tcBorders>
              <w:tl2br w:val="nil"/>
              <w:tr2bl w:val="nil"/>
            </w:tcBorders>
            <w:noWrap w:val="0"/>
            <w:vAlign w:val="center"/>
          </w:tcPr>
          <w:p w14:paraId="4D5F3C38">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环境噪声</w:t>
            </w:r>
          </w:p>
        </w:tc>
        <w:tc>
          <w:tcPr>
            <w:tcW w:w="865" w:type="pct"/>
            <w:tcBorders>
              <w:tl2br w:val="nil"/>
              <w:tr2bl w:val="nil"/>
            </w:tcBorders>
            <w:noWrap w:val="0"/>
            <w:vAlign w:val="center"/>
          </w:tcPr>
          <w:p w14:paraId="244AB33F">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42</w:t>
            </w:r>
          </w:p>
        </w:tc>
        <w:tc>
          <w:tcPr>
            <w:tcW w:w="818" w:type="pct"/>
            <w:tcBorders>
              <w:tl2br w:val="nil"/>
              <w:tr2bl w:val="nil"/>
            </w:tcBorders>
            <w:noWrap w:val="0"/>
            <w:vAlign w:val="center"/>
          </w:tcPr>
          <w:p w14:paraId="19154D4F">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47</w:t>
            </w:r>
          </w:p>
        </w:tc>
        <w:tc>
          <w:tcPr>
            <w:tcW w:w="942" w:type="pct"/>
            <w:tcBorders>
              <w:tl2br w:val="nil"/>
              <w:tr2bl w:val="nil"/>
            </w:tcBorders>
            <w:noWrap w:val="0"/>
            <w:vAlign w:val="center"/>
          </w:tcPr>
          <w:p w14:paraId="7009ACB5">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48</w:t>
            </w:r>
          </w:p>
        </w:tc>
        <w:tc>
          <w:tcPr>
            <w:tcW w:w="929" w:type="pct"/>
            <w:tcBorders>
              <w:tl2br w:val="nil"/>
              <w:tr2bl w:val="nil"/>
            </w:tcBorders>
            <w:noWrap w:val="0"/>
            <w:vAlign w:val="center"/>
          </w:tcPr>
          <w:p w14:paraId="3AE1B84C">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42</w:t>
            </w:r>
          </w:p>
        </w:tc>
      </w:tr>
      <w:tr w14:paraId="326C1F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right"/>
        </w:trPr>
        <w:tc>
          <w:tcPr>
            <w:tcW w:w="453" w:type="pct"/>
            <w:tcBorders>
              <w:tl2br w:val="nil"/>
              <w:tr2bl w:val="nil"/>
            </w:tcBorders>
            <w:noWrap w:val="0"/>
            <w:vAlign w:val="center"/>
          </w:tcPr>
          <w:p w14:paraId="7CBF1620">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N7</w:t>
            </w:r>
          </w:p>
        </w:tc>
        <w:tc>
          <w:tcPr>
            <w:tcW w:w="474" w:type="pct"/>
            <w:tcBorders>
              <w:tl2br w:val="nil"/>
              <w:tr2bl w:val="nil"/>
            </w:tcBorders>
            <w:noWrap w:val="0"/>
            <w:vAlign w:val="center"/>
          </w:tcPr>
          <w:p w14:paraId="27543C89">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太阳泵站</w:t>
            </w:r>
          </w:p>
        </w:tc>
        <w:tc>
          <w:tcPr>
            <w:tcW w:w="517" w:type="pct"/>
            <w:tcBorders>
              <w:tl2br w:val="nil"/>
              <w:tr2bl w:val="nil"/>
            </w:tcBorders>
            <w:noWrap w:val="0"/>
            <w:vAlign w:val="center"/>
          </w:tcPr>
          <w:p w14:paraId="1E8C5BF7">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eastAsia="zh-CN"/>
              </w:rPr>
              <w:t>厂界</w:t>
            </w:r>
            <w:r>
              <w:rPr>
                <w:rFonts w:hint="eastAsia" w:ascii="宋体" w:hAnsi="宋体" w:eastAsia="宋体" w:cs="宋体"/>
                <w:kern w:val="0"/>
                <w:sz w:val="21"/>
                <w:szCs w:val="21"/>
                <w:lang w:val="en-US" w:eastAsia="zh-CN"/>
              </w:rPr>
              <w:t>环境噪声</w:t>
            </w:r>
          </w:p>
        </w:tc>
        <w:tc>
          <w:tcPr>
            <w:tcW w:w="865" w:type="pct"/>
            <w:tcBorders>
              <w:tl2br w:val="nil"/>
              <w:tr2bl w:val="nil"/>
            </w:tcBorders>
            <w:noWrap w:val="0"/>
            <w:vAlign w:val="center"/>
          </w:tcPr>
          <w:p w14:paraId="58BE03DD">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54</w:t>
            </w:r>
          </w:p>
        </w:tc>
        <w:tc>
          <w:tcPr>
            <w:tcW w:w="818" w:type="pct"/>
            <w:tcBorders>
              <w:tl2br w:val="nil"/>
              <w:tr2bl w:val="nil"/>
            </w:tcBorders>
            <w:noWrap w:val="0"/>
            <w:vAlign w:val="center"/>
          </w:tcPr>
          <w:p w14:paraId="746A6DFB">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57</w:t>
            </w:r>
          </w:p>
        </w:tc>
        <w:tc>
          <w:tcPr>
            <w:tcW w:w="942" w:type="pct"/>
            <w:tcBorders>
              <w:tl2br w:val="nil"/>
              <w:tr2bl w:val="nil"/>
            </w:tcBorders>
            <w:noWrap w:val="0"/>
            <w:vAlign w:val="center"/>
          </w:tcPr>
          <w:p w14:paraId="45169AD0">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49</w:t>
            </w:r>
          </w:p>
        </w:tc>
        <w:tc>
          <w:tcPr>
            <w:tcW w:w="929" w:type="pct"/>
            <w:tcBorders>
              <w:tl2br w:val="nil"/>
              <w:tr2bl w:val="nil"/>
            </w:tcBorders>
            <w:noWrap w:val="0"/>
            <w:vAlign w:val="center"/>
          </w:tcPr>
          <w:p w14:paraId="50BAE2EB">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52</w:t>
            </w:r>
          </w:p>
        </w:tc>
      </w:tr>
      <w:tr w14:paraId="3D7314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right"/>
        </w:trPr>
        <w:tc>
          <w:tcPr>
            <w:tcW w:w="1445" w:type="pct"/>
            <w:gridSpan w:val="3"/>
            <w:tcBorders>
              <w:tl2br w:val="nil"/>
              <w:tr2bl w:val="nil"/>
            </w:tcBorders>
            <w:noWrap w:val="0"/>
            <w:vAlign w:val="center"/>
          </w:tcPr>
          <w:p w14:paraId="18494B9F">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备注</w:t>
            </w:r>
          </w:p>
        </w:tc>
        <w:tc>
          <w:tcPr>
            <w:tcW w:w="3554" w:type="pct"/>
            <w:gridSpan w:val="4"/>
            <w:tcBorders>
              <w:tl2br w:val="nil"/>
              <w:tr2bl w:val="nil"/>
            </w:tcBorders>
            <w:noWrap w:val="0"/>
            <w:vAlign w:val="center"/>
          </w:tcPr>
          <w:p w14:paraId="7DC7F313">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sz w:val="21"/>
                <w:szCs w:val="21"/>
                <w:lang w:val="en-US" w:eastAsia="zh-CN"/>
              </w:rPr>
              <w:t>2025-02-13</w:t>
            </w:r>
            <w:r>
              <w:rPr>
                <w:rFonts w:hint="eastAsia" w:ascii="宋体" w:hAnsi="宋体" w:eastAsia="宋体" w:cs="宋体"/>
                <w:color w:val="000000"/>
                <w:kern w:val="0"/>
                <w:sz w:val="21"/>
                <w:szCs w:val="21"/>
                <w:lang w:val="en-US" w:eastAsia="zh-CN"/>
              </w:rPr>
              <w:t>昼间天气晴，风速1.7m/s；夜间天气多云，风速1.9m/s；</w:t>
            </w:r>
          </w:p>
          <w:p w14:paraId="7323D197">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sz w:val="21"/>
                <w:szCs w:val="21"/>
                <w:lang w:val="en-US" w:eastAsia="zh-CN"/>
              </w:rPr>
              <w:t>2025-02-14</w:t>
            </w:r>
            <w:r>
              <w:rPr>
                <w:rFonts w:hint="eastAsia" w:ascii="宋体" w:hAnsi="宋体" w:eastAsia="宋体" w:cs="宋体"/>
                <w:color w:val="000000"/>
                <w:kern w:val="0"/>
                <w:sz w:val="21"/>
                <w:szCs w:val="21"/>
                <w:lang w:val="en-US" w:eastAsia="zh-CN"/>
              </w:rPr>
              <w:t>昼间天气多云，风速1.8m/s；夜间天气多云，风速1.9m/s。</w:t>
            </w:r>
          </w:p>
        </w:tc>
      </w:tr>
    </w:tbl>
    <w:p w14:paraId="70CB892B">
      <w:pPr>
        <w:keepNext w:val="0"/>
        <w:keepLines w:val="0"/>
        <w:pageBreakBefore w:val="0"/>
        <w:widowControl/>
        <w:suppressLineNumbers w:val="0"/>
        <w:kinsoku/>
        <w:wordWrap/>
        <w:topLinePunct w:val="0"/>
        <w:bidi w:val="0"/>
        <w:snapToGrid/>
        <w:spacing w:line="360" w:lineRule="auto"/>
        <w:ind w:firstLine="480" w:firstLineChars="200"/>
        <w:jc w:val="left"/>
      </w:pPr>
      <w:r>
        <w:rPr>
          <w:rFonts w:hint="eastAsia" w:ascii="宋体" w:hAnsi="宋体" w:eastAsia="宋体" w:cs="宋体"/>
          <w:sz w:val="24"/>
          <w:szCs w:val="24"/>
        </w:rPr>
        <w:t>根据边界噪声</w:t>
      </w:r>
      <w:r>
        <w:rPr>
          <w:rFonts w:hint="eastAsia" w:ascii="宋体" w:hAnsi="宋体" w:eastAsia="宋体" w:cs="宋体"/>
          <w:sz w:val="24"/>
          <w:szCs w:val="24"/>
          <w:lang w:eastAsia="zh-CN"/>
        </w:rPr>
        <w:t>检测</w:t>
      </w:r>
      <w:r>
        <w:rPr>
          <w:rFonts w:hint="eastAsia" w:ascii="宋体" w:hAnsi="宋体" w:eastAsia="宋体" w:cs="宋体"/>
          <w:sz w:val="24"/>
          <w:szCs w:val="24"/>
        </w:rPr>
        <w:t>数据可知，</w:t>
      </w:r>
      <w:r>
        <w:rPr>
          <w:rFonts w:hint="eastAsia" w:ascii="宋体" w:hAnsi="宋体" w:eastAsia="宋体" w:cs="宋体"/>
          <w:color w:val="000000"/>
          <w:kern w:val="0"/>
          <w:sz w:val="24"/>
          <w:szCs w:val="24"/>
          <w:lang w:val="en-US" w:eastAsia="zh-CN" w:bidi="ar"/>
        </w:rPr>
        <w:t>验收监测期间，污水处理厂昼、夜间厂界噪声均满足《工业企业厂界环境噪声排放标准》（GB12348-2008）中3类标准限值要求，敏感点安王村噪声满足《声环境质量标准》（GB3096-2008）中2类区标准。</w:t>
      </w:r>
    </w:p>
    <w:p w14:paraId="5F0109BF">
      <w:pPr>
        <w:keepNext w:val="0"/>
        <w:keepLines w:val="0"/>
        <w:widowControl/>
        <w:suppressLineNumbers w:val="0"/>
        <w:jc w:val="left"/>
        <w:outlineLvl w:val="1"/>
        <w:rPr>
          <w:rFonts w:hint="eastAsia" w:ascii="宋体" w:hAnsi="宋体" w:eastAsia="宋体" w:cs="宋体"/>
          <w:b/>
          <w:bCs/>
          <w:color w:val="000000" w:themeColor="text1"/>
          <w:kern w:val="0"/>
          <w:sz w:val="28"/>
          <w:szCs w:val="28"/>
          <w:lang w:val="en-US" w:eastAsia="zh-CN" w:bidi="ar"/>
          <w14:textFill>
            <w14:solidFill>
              <w14:schemeClr w14:val="tx1"/>
            </w14:solidFill>
          </w14:textFill>
        </w:rPr>
      </w:pPr>
      <w:bookmarkStart w:id="74" w:name="_Toc11610"/>
      <w:r>
        <w:rPr>
          <w:rFonts w:hint="eastAsia" w:ascii="宋体" w:hAnsi="宋体" w:eastAsia="宋体" w:cs="宋体"/>
          <w:b/>
          <w:bCs/>
          <w:color w:val="000000" w:themeColor="text1"/>
          <w:kern w:val="0"/>
          <w:sz w:val="28"/>
          <w:szCs w:val="28"/>
          <w:lang w:val="en-US" w:eastAsia="zh-CN" w:bidi="ar"/>
          <w14:textFill>
            <w14:solidFill>
              <w14:schemeClr w14:val="tx1"/>
            </w14:solidFill>
          </w14:textFill>
        </w:rPr>
        <w:t>9.6  污染物排放总量核算</w:t>
      </w:r>
      <w:bookmarkEnd w:id="74"/>
    </w:p>
    <w:p w14:paraId="57117CE8">
      <w:pPr>
        <w:keepNext w:val="0"/>
        <w:keepLines w:val="0"/>
        <w:pageBreakBefore w:val="0"/>
        <w:widowControl/>
        <w:suppressLineNumbers w:val="0"/>
        <w:kinsoku/>
        <w:wordWrap/>
        <w:topLinePunct w:val="0"/>
        <w:bidi w:val="0"/>
        <w:snapToGrid/>
        <w:spacing w:line="360" w:lineRule="auto"/>
        <w:ind w:firstLine="480" w:firstLineChars="200"/>
        <w:jc w:val="both"/>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本项目年工作时间为8760小时，查本项目在线流量计可知项目验收期间平均排水量为3790.35t/d，项目一期二阶段现在尾水排放量为5000t/d（1825000t/a）。考虑本项目全年最大排水量为1825000t/a，故本次验收各污染因子排放总量以较不利的审批要求的排水控制总量即1825000t/a进行核算，根据监测结果，本项目各项总量控制因子排放总量核算见表9.6-1。</w:t>
      </w:r>
    </w:p>
    <w:p w14:paraId="330FA1A9">
      <w:pPr>
        <w:rPr>
          <w:rFonts w:hint="eastAsia" w:ascii="宋体" w:hAnsi="宋体" w:eastAsia="宋体" w:cs="宋体"/>
          <w:b/>
          <w:bCs/>
        </w:rPr>
      </w:pPr>
      <w:r>
        <w:rPr>
          <w:rFonts w:hint="eastAsia" w:ascii="宋体" w:hAnsi="宋体" w:eastAsia="宋体" w:cs="宋体"/>
          <w:b/>
          <w:bCs/>
        </w:rPr>
        <w:br w:type="page"/>
      </w:r>
    </w:p>
    <w:p w14:paraId="1FD0F00F">
      <w:pPr>
        <w:keepNext w:val="0"/>
        <w:keepLines w:val="0"/>
        <w:widowControl/>
        <w:suppressLineNumbers w:val="0"/>
        <w:jc w:val="center"/>
        <w:rPr>
          <w:rFonts w:hint="eastAsia" w:ascii="宋体" w:hAnsi="宋体" w:eastAsia="宋体" w:cs="宋体"/>
          <w:b/>
          <w:bCs/>
          <w:lang w:val="en-US" w:eastAsia="zh-CN"/>
        </w:rPr>
      </w:pPr>
      <w:r>
        <w:rPr>
          <w:rFonts w:hint="eastAsia" w:ascii="宋体" w:hAnsi="宋体" w:eastAsia="宋体" w:cs="宋体"/>
          <w:b/>
          <w:bCs/>
        </w:rPr>
        <w:t>表</w:t>
      </w:r>
      <w:r>
        <w:rPr>
          <w:rFonts w:hint="eastAsia" w:ascii="宋体" w:hAnsi="宋体" w:eastAsia="宋体" w:cs="宋体"/>
          <w:b/>
          <w:bCs/>
          <w:lang w:val="en-US" w:eastAsia="zh-CN"/>
        </w:rPr>
        <w:t>9.6-1</w:t>
      </w:r>
      <w:r>
        <w:rPr>
          <w:rFonts w:hint="eastAsia" w:ascii="宋体" w:hAnsi="宋体" w:eastAsia="宋体" w:cs="宋体"/>
          <w:b/>
          <w:bCs/>
        </w:rPr>
        <w:t xml:space="preserve">  </w:t>
      </w:r>
      <w:r>
        <w:rPr>
          <w:rFonts w:hint="eastAsia" w:ascii="宋体" w:hAnsi="宋体" w:eastAsia="宋体" w:cs="宋体"/>
          <w:b/>
          <w:bCs/>
          <w:lang w:val="en-US" w:eastAsia="zh-CN"/>
        </w:rPr>
        <w:t>项目总量控制因子核算一览表</w:t>
      </w:r>
    </w:p>
    <w:tbl>
      <w:tblPr>
        <w:tblStyle w:val="19"/>
        <w:tblW w:w="4997" w:type="pct"/>
        <w:jc w:val="right"/>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05"/>
        <w:gridCol w:w="1790"/>
        <w:gridCol w:w="1101"/>
        <w:gridCol w:w="1255"/>
        <w:gridCol w:w="1255"/>
        <w:gridCol w:w="1256"/>
        <w:gridCol w:w="1255"/>
      </w:tblGrid>
      <w:tr w14:paraId="025D9D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355" w:type="pct"/>
            <w:vMerge w:val="restart"/>
            <w:tcBorders>
              <w:tl2br w:val="nil"/>
              <w:tr2bl w:val="nil"/>
            </w:tcBorders>
            <w:noWrap w:val="0"/>
            <w:vAlign w:val="center"/>
          </w:tcPr>
          <w:p w14:paraId="141E8443">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b/>
                <w:bCs/>
                <w:color w:val="000000"/>
                <w:sz w:val="21"/>
                <w:szCs w:val="21"/>
                <w:lang w:eastAsia="zh-CN"/>
              </w:rPr>
            </w:pPr>
            <w:r>
              <w:rPr>
                <w:rFonts w:hint="eastAsia" w:ascii="宋体" w:hAnsi="宋体" w:eastAsia="宋体" w:cs="宋体"/>
                <w:b/>
                <w:bCs/>
                <w:color w:val="000000"/>
                <w:sz w:val="21"/>
                <w:szCs w:val="21"/>
                <w:lang w:val="en-US" w:eastAsia="zh-CN"/>
              </w:rPr>
              <w:t>序号</w:t>
            </w:r>
          </w:p>
        </w:tc>
        <w:tc>
          <w:tcPr>
            <w:tcW w:w="1050" w:type="pct"/>
            <w:vMerge w:val="restart"/>
            <w:tcBorders>
              <w:tl2br w:val="nil"/>
              <w:tr2bl w:val="nil"/>
            </w:tcBorders>
            <w:noWrap w:val="0"/>
            <w:vAlign w:val="center"/>
          </w:tcPr>
          <w:p w14:paraId="3849864C">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控制因子</w:t>
            </w:r>
          </w:p>
        </w:tc>
        <w:tc>
          <w:tcPr>
            <w:tcW w:w="646" w:type="pct"/>
            <w:vMerge w:val="restart"/>
            <w:tcBorders>
              <w:tl2br w:val="nil"/>
              <w:tr2bl w:val="nil"/>
            </w:tcBorders>
            <w:noWrap w:val="0"/>
            <w:vAlign w:val="center"/>
          </w:tcPr>
          <w:p w14:paraId="63608A45">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总量要求</w:t>
            </w:r>
          </w:p>
        </w:tc>
        <w:tc>
          <w:tcPr>
            <w:tcW w:w="736" w:type="pct"/>
            <w:vMerge w:val="restart"/>
            <w:tcBorders>
              <w:tl2br w:val="nil"/>
              <w:tr2bl w:val="nil"/>
            </w:tcBorders>
            <w:noWrap w:val="0"/>
            <w:vAlign w:val="center"/>
          </w:tcPr>
          <w:p w14:paraId="1D4D1B88">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年排水量t/a</w:t>
            </w:r>
          </w:p>
        </w:tc>
        <w:tc>
          <w:tcPr>
            <w:tcW w:w="1473" w:type="pct"/>
            <w:gridSpan w:val="2"/>
            <w:tcBorders>
              <w:tl2br w:val="nil"/>
              <w:tr2bl w:val="nil"/>
            </w:tcBorders>
            <w:noWrap w:val="0"/>
            <w:vAlign w:val="center"/>
          </w:tcPr>
          <w:p w14:paraId="60A89F49">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实际总量计算</w:t>
            </w:r>
          </w:p>
        </w:tc>
        <w:tc>
          <w:tcPr>
            <w:tcW w:w="736" w:type="pct"/>
            <w:vMerge w:val="restart"/>
            <w:tcBorders>
              <w:tl2br w:val="nil"/>
              <w:tr2bl w:val="nil"/>
            </w:tcBorders>
            <w:noWrap w:val="0"/>
            <w:vAlign w:val="center"/>
          </w:tcPr>
          <w:p w14:paraId="105174C3">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是否达标</w:t>
            </w:r>
          </w:p>
        </w:tc>
      </w:tr>
      <w:tr w14:paraId="05EB8A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355" w:type="pct"/>
            <w:vMerge w:val="continue"/>
            <w:tcBorders>
              <w:tl2br w:val="nil"/>
              <w:tr2bl w:val="nil"/>
            </w:tcBorders>
            <w:noWrap w:val="0"/>
            <w:vAlign w:val="center"/>
          </w:tcPr>
          <w:p w14:paraId="3FA27BAE">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b/>
                <w:bCs/>
                <w:color w:val="000000"/>
                <w:sz w:val="21"/>
                <w:szCs w:val="21"/>
              </w:rPr>
            </w:pPr>
          </w:p>
        </w:tc>
        <w:tc>
          <w:tcPr>
            <w:tcW w:w="1050" w:type="pct"/>
            <w:vMerge w:val="continue"/>
            <w:tcBorders>
              <w:tl2br w:val="nil"/>
              <w:tr2bl w:val="nil"/>
            </w:tcBorders>
            <w:noWrap w:val="0"/>
            <w:vAlign w:val="center"/>
          </w:tcPr>
          <w:p w14:paraId="1451058F">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b/>
                <w:bCs/>
                <w:color w:val="000000"/>
                <w:sz w:val="21"/>
                <w:szCs w:val="21"/>
              </w:rPr>
            </w:pPr>
          </w:p>
        </w:tc>
        <w:tc>
          <w:tcPr>
            <w:tcW w:w="646" w:type="pct"/>
            <w:vMerge w:val="continue"/>
            <w:tcBorders>
              <w:tl2br w:val="nil"/>
              <w:tr2bl w:val="nil"/>
            </w:tcBorders>
            <w:noWrap w:val="0"/>
            <w:vAlign w:val="center"/>
          </w:tcPr>
          <w:p w14:paraId="55707C38">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b/>
                <w:bCs/>
                <w:color w:val="000000"/>
                <w:sz w:val="21"/>
                <w:szCs w:val="21"/>
              </w:rPr>
            </w:pPr>
          </w:p>
        </w:tc>
        <w:tc>
          <w:tcPr>
            <w:tcW w:w="736" w:type="pct"/>
            <w:vMerge w:val="continue"/>
            <w:tcBorders>
              <w:tl2br w:val="nil"/>
              <w:tr2bl w:val="nil"/>
            </w:tcBorders>
            <w:noWrap w:val="0"/>
            <w:vAlign w:val="center"/>
          </w:tcPr>
          <w:p w14:paraId="0CCD69A0">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b/>
                <w:bCs/>
                <w:color w:val="000000"/>
                <w:sz w:val="21"/>
                <w:szCs w:val="21"/>
              </w:rPr>
            </w:pPr>
          </w:p>
        </w:tc>
        <w:tc>
          <w:tcPr>
            <w:tcW w:w="736" w:type="pct"/>
            <w:tcBorders>
              <w:tl2br w:val="nil"/>
              <w:tr2bl w:val="nil"/>
            </w:tcBorders>
            <w:noWrap w:val="0"/>
            <w:vAlign w:val="center"/>
          </w:tcPr>
          <w:p w14:paraId="35512884">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出口检测平均浓度</w:t>
            </w:r>
          </w:p>
        </w:tc>
        <w:tc>
          <w:tcPr>
            <w:tcW w:w="736" w:type="pct"/>
            <w:tcBorders>
              <w:tl2br w:val="nil"/>
              <w:tr2bl w:val="nil"/>
            </w:tcBorders>
            <w:noWrap w:val="0"/>
            <w:vAlign w:val="center"/>
          </w:tcPr>
          <w:p w14:paraId="6294BCA8">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实际排放量</w:t>
            </w:r>
          </w:p>
        </w:tc>
        <w:tc>
          <w:tcPr>
            <w:tcW w:w="736" w:type="pct"/>
            <w:vMerge w:val="continue"/>
            <w:tcBorders>
              <w:tl2br w:val="nil"/>
              <w:tr2bl w:val="nil"/>
            </w:tcBorders>
            <w:noWrap w:val="0"/>
            <w:vAlign w:val="center"/>
          </w:tcPr>
          <w:p w14:paraId="5FD28E37">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b/>
                <w:bCs/>
                <w:color w:val="000000"/>
                <w:sz w:val="21"/>
                <w:szCs w:val="21"/>
              </w:rPr>
            </w:pPr>
          </w:p>
        </w:tc>
      </w:tr>
      <w:tr w14:paraId="17EE15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355" w:type="pct"/>
            <w:tcBorders>
              <w:tl2br w:val="nil"/>
              <w:tr2bl w:val="nil"/>
            </w:tcBorders>
            <w:noWrap w:val="0"/>
            <w:vAlign w:val="center"/>
          </w:tcPr>
          <w:p w14:paraId="393EA5C9">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w:t>
            </w:r>
          </w:p>
        </w:tc>
        <w:tc>
          <w:tcPr>
            <w:tcW w:w="1050" w:type="pct"/>
            <w:tcBorders>
              <w:tl2br w:val="nil"/>
              <w:tr2bl w:val="nil"/>
            </w:tcBorders>
            <w:shd w:val="clear" w:color="auto" w:fill="auto"/>
            <w:noWrap w:val="0"/>
            <w:vAlign w:val="center"/>
          </w:tcPr>
          <w:p w14:paraId="4D35BF15">
            <w:pPr>
              <w:keepNext w:val="0"/>
              <w:keepLines w:val="0"/>
              <w:pageBreakBefore w:val="0"/>
              <w:widowControl/>
              <w:suppressLineNumbers w:val="0"/>
              <w:kinsoku/>
              <w:wordWrap/>
              <w:overflowPunct/>
              <w:topLinePunct w:val="0"/>
              <w:bidi w:val="0"/>
              <w:snapToGrid w:val="0"/>
              <w:spacing w:line="240" w:lineRule="auto"/>
              <w:jc w:val="center"/>
              <w:textAlignment w:val="center"/>
              <w:rPr>
                <w:rFonts w:hint="eastAsia" w:ascii="宋体" w:hAnsi="宋体" w:eastAsia="宋体" w:cs="宋体"/>
                <w:color w:val="auto"/>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悬浮物</w:t>
            </w:r>
          </w:p>
        </w:tc>
        <w:tc>
          <w:tcPr>
            <w:tcW w:w="646" w:type="pct"/>
            <w:tcBorders>
              <w:tl2br w:val="nil"/>
              <w:tr2bl w:val="nil"/>
            </w:tcBorders>
            <w:noWrap w:val="0"/>
            <w:vAlign w:val="center"/>
          </w:tcPr>
          <w:p w14:paraId="7FD63C2A">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w:t>
            </w:r>
          </w:p>
        </w:tc>
        <w:tc>
          <w:tcPr>
            <w:tcW w:w="736" w:type="pct"/>
            <w:vMerge w:val="restart"/>
            <w:tcBorders>
              <w:tl2br w:val="nil"/>
              <w:tr2bl w:val="nil"/>
            </w:tcBorders>
            <w:noWrap w:val="0"/>
            <w:vAlign w:val="center"/>
          </w:tcPr>
          <w:p w14:paraId="3E2260B4">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1825000</w:t>
            </w:r>
          </w:p>
        </w:tc>
        <w:tc>
          <w:tcPr>
            <w:tcW w:w="736" w:type="pct"/>
            <w:tcBorders>
              <w:tl2br w:val="nil"/>
              <w:tr2bl w:val="nil"/>
            </w:tcBorders>
            <w:noWrap w:val="0"/>
            <w:vAlign w:val="center"/>
          </w:tcPr>
          <w:p w14:paraId="2E56CC17">
            <w:pPr>
              <w:keepNext w:val="0"/>
              <w:keepLines w:val="0"/>
              <w:pageBreakBefore w:val="0"/>
              <w:widowControl/>
              <w:suppressLineNumbers w:val="0"/>
              <w:kinsoku/>
              <w:wordWrap/>
              <w:overflowPunct/>
              <w:topLinePunct w:val="0"/>
              <w:bidi w:val="0"/>
              <w:snapToGrid w:val="0"/>
              <w:spacing w:line="240" w:lineRule="auto"/>
              <w:jc w:val="center"/>
              <w:textAlignment w:val="center"/>
              <w:rPr>
                <w:rFonts w:hint="eastAsia" w:ascii="宋体" w:hAnsi="宋体" w:eastAsia="宋体" w:cs="宋体"/>
                <w:kern w:val="0"/>
                <w:sz w:val="21"/>
                <w:szCs w:val="21"/>
                <w:lang w:eastAsia="zh-CN"/>
              </w:rPr>
            </w:pPr>
            <w:r>
              <w:rPr>
                <w:rFonts w:hint="eastAsia" w:ascii="宋体" w:hAnsi="宋体" w:eastAsia="宋体" w:cs="宋体"/>
                <w:i w:val="0"/>
                <w:iCs w:val="0"/>
                <w:color w:val="000000"/>
                <w:kern w:val="0"/>
                <w:sz w:val="21"/>
                <w:szCs w:val="21"/>
                <w:u w:val="none"/>
                <w:lang w:val="en-US" w:eastAsia="zh-CN" w:bidi="ar"/>
              </w:rPr>
              <w:t>7</w:t>
            </w:r>
          </w:p>
        </w:tc>
        <w:tc>
          <w:tcPr>
            <w:tcW w:w="736" w:type="pct"/>
            <w:tcBorders>
              <w:tl2br w:val="nil"/>
              <w:tr2bl w:val="nil"/>
            </w:tcBorders>
            <w:noWrap w:val="0"/>
            <w:vAlign w:val="center"/>
          </w:tcPr>
          <w:p w14:paraId="684B6463">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宋体" w:hAnsi="宋体" w:eastAsia="宋体" w:cs="宋体"/>
                <w:kern w:val="0"/>
                <w:sz w:val="21"/>
                <w:szCs w:val="21"/>
                <w:lang w:val="en-US" w:eastAsia="zh-CN"/>
              </w:rPr>
            </w:pPr>
            <w:r>
              <w:rPr>
                <w:rFonts w:hint="eastAsia" w:ascii="宋体" w:hAnsi="宋体" w:eastAsia="宋体" w:cs="宋体"/>
                <w:i w:val="0"/>
                <w:iCs w:val="0"/>
                <w:color w:val="000000"/>
                <w:kern w:val="0"/>
                <w:sz w:val="21"/>
                <w:szCs w:val="21"/>
                <w:u w:val="none"/>
                <w:lang w:val="en-US" w:eastAsia="zh-CN" w:bidi="ar"/>
              </w:rPr>
              <w:t>12.78</w:t>
            </w:r>
          </w:p>
        </w:tc>
        <w:tc>
          <w:tcPr>
            <w:tcW w:w="736" w:type="pct"/>
            <w:tcBorders>
              <w:tl2br w:val="nil"/>
              <w:tr2bl w:val="nil"/>
            </w:tcBorders>
            <w:noWrap w:val="0"/>
            <w:vAlign w:val="center"/>
          </w:tcPr>
          <w:p w14:paraId="5E0378DC">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val="en-US" w:eastAsia="zh-CN"/>
              </w:rPr>
              <w:t>/</w:t>
            </w:r>
          </w:p>
        </w:tc>
      </w:tr>
      <w:tr w14:paraId="278B28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355" w:type="pct"/>
            <w:tcBorders>
              <w:tl2br w:val="nil"/>
              <w:tr2bl w:val="nil"/>
            </w:tcBorders>
            <w:noWrap w:val="0"/>
            <w:vAlign w:val="center"/>
          </w:tcPr>
          <w:p w14:paraId="4E287361">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2</w:t>
            </w:r>
          </w:p>
        </w:tc>
        <w:tc>
          <w:tcPr>
            <w:tcW w:w="1050" w:type="pct"/>
            <w:tcBorders>
              <w:tl2br w:val="nil"/>
              <w:tr2bl w:val="nil"/>
            </w:tcBorders>
            <w:shd w:val="clear" w:color="auto" w:fill="auto"/>
            <w:noWrap w:val="0"/>
            <w:vAlign w:val="center"/>
          </w:tcPr>
          <w:p w14:paraId="01A71D1D">
            <w:pPr>
              <w:keepNext w:val="0"/>
              <w:keepLines w:val="0"/>
              <w:pageBreakBefore w:val="0"/>
              <w:widowControl/>
              <w:suppressLineNumbers w:val="0"/>
              <w:kinsoku/>
              <w:wordWrap/>
              <w:overflowPunct/>
              <w:topLinePunct w:val="0"/>
              <w:bidi w:val="0"/>
              <w:snapToGrid w:val="0"/>
              <w:spacing w:line="240" w:lineRule="auto"/>
              <w:jc w:val="center"/>
              <w:textAlignment w:val="center"/>
              <w:rPr>
                <w:rFonts w:hint="eastAsia" w:ascii="宋体" w:hAnsi="宋体" w:eastAsia="宋体" w:cs="宋体"/>
                <w:color w:val="auto"/>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氨氮</w:t>
            </w:r>
          </w:p>
        </w:tc>
        <w:tc>
          <w:tcPr>
            <w:tcW w:w="646" w:type="pct"/>
            <w:tcBorders>
              <w:tl2br w:val="nil"/>
              <w:tr2bl w:val="nil"/>
            </w:tcBorders>
            <w:noWrap w:val="0"/>
            <w:vAlign w:val="center"/>
          </w:tcPr>
          <w:p w14:paraId="1E67C5DA">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9.125</w:t>
            </w:r>
          </w:p>
        </w:tc>
        <w:tc>
          <w:tcPr>
            <w:tcW w:w="736" w:type="pct"/>
            <w:vMerge w:val="continue"/>
            <w:tcBorders>
              <w:tl2br w:val="nil"/>
              <w:tr2bl w:val="nil"/>
            </w:tcBorders>
            <w:noWrap w:val="0"/>
            <w:vAlign w:val="center"/>
          </w:tcPr>
          <w:p w14:paraId="19C00D08">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kern w:val="0"/>
                <w:sz w:val="21"/>
                <w:szCs w:val="21"/>
                <w:lang w:eastAsia="zh-CN"/>
              </w:rPr>
            </w:pPr>
          </w:p>
        </w:tc>
        <w:tc>
          <w:tcPr>
            <w:tcW w:w="736" w:type="pct"/>
            <w:tcBorders>
              <w:tl2br w:val="nil"/>
              <w:tr2bl w:val="nil"/>
            </w:tcBorders>
            <w:noWrap w:val="0"/>
            <w:vAlign w:val="center"/>
          </w:tcPr>
          <w:p w14:paraId="10E67E7B">
            <w:pPr>
              <w:keepNext w:val="0"/>
              <w:keepLines w:val="0"/>
              <w:pageBreakBefore w:val="0"/>
              <w:widowControl/>
              <w:suppressLineNumbers w:val="0"/>
              <w:kinsoku/>
              <w:wordWrap/>
              <w:overflowPunct/>
              <w:topLinePunct w:val="0"/>
              <w:bidi w:val="0"/>
              <w:snapToGrid w:val="0"/>
              <w:spacing w:line="240" w:lineRule="auto"/>
              <w:jc w:val="center"/>
              <w:textAlignment w:val="center"/>
              <w:rPr>
                <w:rFonts w:hint="eastAsia" w:ascii="宋体" w:hAnsi="宋体" w:eastAsia="宋体" w:cs="宋体"/>
                <w:kern w:val="0"/>
                <w:sz w:val="21"/>
                <w:szCs w:val="21"/>
                <w:lang w:eastAsia="zh-CN"/>
              </w:rPr>
            </w:pPr>
            <w:r>
              <w:rPr>
                <w:rFonts w:hint="eastAsia" w:ascii="宋体" w:hAnsi="宋体" w:eastAsia="宋体" w:cs="宋体"/>
                <w:i w:val="0"/>
                <w:iCs w:val="0"/>
                <w:color w:val="000000"/>
                <w:kern w:val="0"/>
                <w:sz w:val="21"/>
                <w:szCs w:val="21"/>
                <w:u w:val="none"/>
                <w:lang w:val="en-US" w:eastAsia="zh-CN" w:bidi="ar"/>
              </w:rPr>
              <w:t>0.399</w:t>
            </w:r>
          </w:p>
        </w:tc>
        <w:tc>
          <w:tcPr>
            <w:tcW w:w="736" w:type="pct"/>
            <w:tcBorders>
              <w:tl2br w:val="nil"/>
              <w:tr2bl w:val="nil"/>
            </w:tcBorders>
            <w:noWrap w:val="0"/>
            <w:vAlign w:val="center"/>
          </w:tcPr>
          <w:p w14:paraId="4D62FFF9">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宋体" w:hAnsi="宋体" w:eastAsia="宋体" w:cs="宋体"/>
                <w:kern w:val="0"/>
                <w:sz w:val="21"/>
                <w:szCs w:val="21"/>
                <w:lang w:val="en-US" w:eastAsia="zh-CN"/>
              </w:rPr>
            </w:pPr>
            <w:r>
              <w:rPr>
                <w:rFonts w:hint="eastAsia" w:ascii="宋体" w:hAnsi="宋体" w:eastAsia="宋体" w:cs="宋体"/>
                <w:i w:val="0"/>
                <w:iCs w:val="0"/>
                <w:color w:val="000000"/>
                <w:kern w:val="0"/>
                <w:sz w:val="21"/>
                <w:szCs w:val="21"/>
                <w:u w:val="none"/>
                <w:lang w:val="en-US" w:eastAsia="zh-CN" w:bidi="ar"/>
              </w:rPr>
              <w:t>0.73</w:t>
            </w:r>
          </w:p>
        </w:tc>
        <w:tc>
          <w:tcPr>
            <w:tcW w:w="736" w:type="pct"/>
            <w:tcBorders>
              <w:tl2br w:val="nil"/>
              <w:tr2bl w:val="nil"/>
            </w:tcBorders>
            <w:noWrap w:val="0"/>
            <w:vAlign w:val="center"/>
          </w:tcPr>
          <w:p w14:paraId="58D47D7E">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是</w:t>
            </w:r>
          </w:p>
        </w:tc>
      </w:tr>
      <w:tr w14:paraId="499321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355" w:type="pct"/>
            <w:tcBorders>
              <w:tl2br w:val="nil"/>
              <w:tr2bl w:val="nil"/>
            </w:tcBorders>
            <w:noWrap w:val="0"/>
            <w:vAlign w:val="center"/>
          </w:tcPr>
          <w:p w14:paraId="531943DE">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3</w:t>
            </w:r>
          </w:p>
        </w:tc>
        <w:tc>
          <w:tcPr>
            <w:tcW w:w="1050" w:type="pct"/>
            <w:tcBorders>
              <w:tl2br w:val="nil"/>
              <w:tr2bl w:val="nil"/>
            </w:tcBorders>
            <w:shd w:val="clear" w:color="auto" w:fill="auto"/>
            <w:noWrap w:val="0"/>
            <w:vAlign w:val="center"/>
          </w:tcPr>
          <w:p w14:paraId="368855C5">
            <w:pPr>
              <w:keepNext w:val="0"/>
              <w:keepLines w:val="0"/>
              <w:pageBreakBefore w:val="0"/>
              <w:widowControl/>
              <w:suppressLineNumbers w:val="0"/>
              <w:kinsoku/>
              <w:wordWrap/>
              <w:overflowPunct/>
              <w:topLinePunct w:val="0"/>
              <w:bidi w:val="0"/>
              <w:snapToGrid w:val="0"/>
              <w:spacing w:line="240" w:lineRule="auto"/>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化学需氧量</w:t>
            </w:r>
          </w:p>
        </w:tc>
        <w:tc>
          <w:tcPr>
            <w:tcW w:w="646" w:type="pct"/>
            <w:tcBorders>
              <w:tl2br w:val="nil"/>
              <w:tr2bl w:val="nil"/>
            </w:tcBorders>
            <w:noWrap w:val="0"/>
            <w:vAlign w:val="center"/>
          </w:tcPr>
          <w:p w14:paraId="494860ED">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91.25</w:t>
            </w:r>
          </w:p>
        </w:tc>
        <w:tc>
          <w:tcPr>
            <w:tcW w:w="736" w:type="pct"/>
            <w:vMerge w:val="continue"/>
            <w:tcBorders>
              <w:tl2br w:val="nil"/>
              <w:tr2bl w:val="nil"/>
            </w:tcBorders>
            <w:noWrap w:val="0"/>
            <w:vAlign w:val="center"/>
          </w:tcPr>
          <w:p w14:paraId="28A81F25">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kern w:val="0"/>
                <w:sz w:val="21"/>
                <w:szCs w:val="21"/>
                <w:lang w:eastAsia="zh-CN"/>
              </w:rPr>
            </w:pPr>
          </w:p>
        </w:tc>
        <w:tc>
          <w:tcPr>
            <w:tcW w:w="736" w:type="pct"/>
            <w:tcBorders>
              <w:tl2br w:val="nil"/>
              <w:tr2bl w:val="nil"/>
            </w:tcBorders>
            <w:noWrap w:val="0"/>
            <w:vAlign w:val="center"/>
          </w:tcPr>
          <w:p w14:paraId="0ED1E9B9">
            <w:pPr>
              <w:keepNext w:val="0"/>
              <w:keepLines w:val="0"/>
              <w:pageBreakBefore w:val="0"/>
              <w:widowControl/>
              <w:suppressLineNumbers w:val="0"/>
              <w:kinsoku/>
              <w:wordWrap/>
              <w:overflowPunct/>
              <w:topLinePunct w:val="0"/>
              <w:bidi w:val="0"/>
              <w:snapToGrid w:val="0"/>
              <w:spacing w:line="240" w:lineRule="auto"/>
              <w:jc w:val="center"/>
              <w:textAlignment w:val="center"/>
              <w:rPr>
                <w:rFonts w:hint="eastAsia" w:ascii="宋体" w:hAnsi="宋体" w:eastAsia="宋体" w:cs="宋体"/>
                <w:kern w:val="0"/>
                <w:sz w:val="21"/>
                <w:szCs w:val="21"/>
                <w:lang w:eastAsia="zh-CN"/>
              </w:rPr>
            </w:pPr>
            <w:r>
              <w:rPr>
                <w:rFonts w:hint="eastAsia" w:ascii="宋体" w:hAnsi="宋体" w:eastAsia="宋体" w:cs="宋体"/>
                <w:i w:val="0"/>
                <w:iCs w:val="0"/>
                <w:color w:val="000000"/>
                <w:kern w:val="0"/>
                <w:sz w:val="21"/>
                <w:szCs w:val="21"/>
                <w:u w:val="none"/>
                <w:lang w:val="en-US" w:eastAsia="zh-CN" w:bidi="ar"/>
              </w:rPr>
              <w:t>42.9</w:t>
            </w:r>
          </w:p>
        </w:tc>
        <w:tc>
          <w:tcPr>
            <w:tcW w:w="736" w:type="pct"/>
            <w:tcBorders>
              <w:tl2br w:val="nil"/>
              <w:tr2bl w:val="nil"/>
            </w:tcBorders>
            <w:noWrap w:val="0"/>
            <w:vAlign w:val="center"/>
          </w:tcPr>
          <w:p w14:paraId="30D57140">
            <w:pPr>
              <w:keepNext w:val="0"/>
              <w:keepLines w:val="0"/>
              <w:pageBreakBefore w:val="0"/>
              <w:widowControl/>
              <w:suppressLineNumbers w:val="0"/>
              <w:kinsoku/>
              <w:wordWrap/>
              <w:overflowPunct/>
              <w:topLinePunct w:val="0"/>
              <w:bidi w:val="0"/>
              <w:snapToGrid w:val="0"/>
              <w:spacing w:line="240" w:lineRule="auto"/>
              <w:jc w:val="center"/>
              <w:textAlignment w:val="center"/>
              <w:rPr>
                <w:rFonts w:hint="eastAsia" w:ascii="宋体" w:hAnsi="宋体" w:eastAsia="宋体" w:cs="宋体"/>
                <w:kern w:val="0"/>
                <w:sz w:val="21"/>
                <w:szCs w:val="21"/>
                <w:lang w:eastAsia="zh-CN"/>
              </w:rPr>
            </w:pPr>
            <w:r>
              <w:rPr>
                <w:rFonts w:hint="eastAsia" w:ascii="宋体" w:hAnsi="宋体" w:eastAsia="宋体" w:cs="宋体"/>
                <w:i w:val="0"/>
                <w:iCs w:val="0"/>
                <w:color w:val="000000"/>
                <w:kern w:val="0"/>
                <w:sz w:val="21"/>
                <w:szCs w:val="21"/>
                <w:u w:val="none"/>
                <w:lang w:val="en-US" w:eastAsia="zh-CN" w:bidi="ar"/>
              </w:rPr>
              <w:t>78.293</w:t>
            </w:r>
          </w:p>
        </w:tc>
        <w:tc>
          <w:tcPr>
            <w:tcW w:w="736" w:type="pct"/>
            <w:tcBorders>
              <w:tl2br w:val="nil"/>
              <w:tr2bl w:val="nil"/>
            </w:tcBorders>
            <w:noWrap w:val="0"/>
            <w:vAlign w:val="center"/>
          </w:tcPr>
          <w:p w14:paraId="6491C1BD">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是</w:t>
            </w:r>
          </w:p>
        </w:tc>
      </w:tr>
      <w:tr w14:paraId="4A2B40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355" w:type="pct"/>
            <w:tcBorders>
              <w:tl2br w:val="nil"/>
              <w:tr2bl w:val="nil"/>
            </w:tcBorders>
            <w:noWrap w:val="0"/>
            <w:vAlign w:val="center"/>
          </w:tcPr>
          <w:p w14:paraId="3B215BC3">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4</w:t>
            </w:r>
          </w:p>
        </w:tc>
        <w:tc>
          <w:tcPr>
            <w:tcW w:w="1050" w:type="pct"/>
            <w:tcBorders>
              <w:tl2br w:val="nil"/>
              <w:tr2bl w:val="nil"/>
            </w:tcBorders>
            <w:shd w:val="clear" w:color="auto" w:fill="auto"/>
            <w:noWrap w:val="0"/>
            <w:vAlign w:val="center"/>
          </w:tcPr>
          <w:p w14:paraId="23ED19EE">
            <w:pPr>
              <w:keepNext w:val="0"/>
              <w:keepLines w:val="0"/>
              <w:pageBreakBefore w:val="0"/>
              <w:widowControl/>
              <w:suppressLineNumbers w:val="0"/>
              <w:kinsoku/>
              <w:wordWrap/>
              <w:overflowPunct/>
              <w:topLinePunct w:val="0"/>
              <w:bidi w:val="0"/>
              <w:snapToGrid w:val="0"/>
              <w:spacing w:line="240" w:lineRule="auto"/>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五日生化需氧量</w:t>
            </w:r>
          </w:p>
        </w:tc>
        <w:tc>
          <w:tcPr>
            <w:tcW w:w="646" w:type="pct"/>
            <w:tcBorders>
              <w:tl2br w:val="nil"/>
              <w:tr2bl w:val="nil"/>
            </w:tcBorders>
            <w:noWrap w:val="0"/>
            <w:vAlign w:val="center"/>
          </w:tcPr>
          <w:p w14:paraId="72005C08">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val="en-US" w:eastAsia="zh-CN"/>
              </w:rPr>
              <w:t>/</w:t>
            </w:r>
          </w:p>
        </w:tc>
        <w:tc>
          <w:tcPr>
            <w:tcW w:w="736" w:type="pct"/>
            <w:vMerge w:val="continue"/>
            <w:tcBorders>
              <w:tl2br w:val="nil"/>
              <w:tr2bl w:val="nil"/>
            </w:tcBorders>
            <w:noWrap w:val="0"/>
            <w:vAlign w:val="center"/>
          </w:tcPr>
          <w:p w14:paraId="7917A9C0">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kern w:val="0"/>
                <w:sz w:val="21"/>
                <w:szCs w:val="21"/>
                <w:lang w:eastAsia="zh-CN"/>
              </w:rPr>
            </w:pPr>
          </w:p>
        </w:tc>
        <w:tc>
          <w:tcPr>
            <w:tcW w:w="736" w:type="pct"/>
            <w:tcBorders>
              <w:tl2br w:val="nil"/>
              <w:tr2bl w:val="nil"/>
            </w:tcBorders>
            <w:noWrap w:val="0"/>
            <w:vAlign w:val="center"/>
          </w:tcPr>
          <w:p w14:paraId="46CE31FF">
            <w:pPr>
              <w:keepNext w:val="0"/>
              <w:keepLines w:val="0"/>
              <w:pageBreakBefore w:val="0"/>
              <w:widowControl/>
              <w:suppressLineNumbers w:val="0"/>
              <w:kinsoku/>
              <w:wordWrap/>
              <w:overflowPunct/>
              <w:topLinePunct w:val="0"/>
              <w:bidi w:val="0"/>
              <w:snapToGrid w:val="0"/>
              <w:spacing w:line="240" w:lineRule="auto"/>
              <w:jc w:val="center"/>
              <w:textAlignment w:val="center"/>
              <w:rPr>
                <w:rFonts w:hint="eastAsia" w:ascii="宋体" w:hAnsi="宋体" w:eastAsia="宋体" w:cs="宋体"/>
                <w:kern w:val="0"/>
                <w:sz w:val="21"/>
                <w:szCs w:val="21"/>
                <w:lang w:eastAsia="zh-CN"/>
              </w:rPr>
            </w:pPr>
            <w:r>
              <w:rPr>
                <w:rFonts w:hint="eastAsia" w:ascii="宋体" w:hAnsi="宋体" w:eastAsia="宋体" w:cs="宋体"/>
                <w:i w:val="0"/>
                <w:iCs w:val="0"/>
                <w:color w:val="000000"/>
                <w:kern w:val="0"/>
                <w:sz w:val="21"/>
                <w:szCs w:val="21"/>
                <w:u w:val="none"/>
                <w:lang w:val="en-US" w:eastAsia="zh-CN" w:bidi="ar"/>
              </w:rPr>
              <w:t>7.6</w:t>
            </w:r>
          </w:p>
        </w:tc>
        <w:tc>
          <w:tcPr>
            <w:tcW w:w="736" w:type="pct"/>
            <w:tcBorders>
              <w:tl2br w:val="nil"/>
              <w:tr2bl w:val="nil"/>
            </w:tcBorders>
            <w:noWrap w:val="0"/>
            <w:vAlign w:val="center"/>
          </w:tcPr>
          <w:p w14:paraId="2EB7F0C3">
            <w:pPr>
              <w:keepNext w:val="0"/>
              <w:keepLines w:val="0"/>
              <w:pageBreakBefore w:val="0"/>
              <w:widowControl/>
              <w:suppressLineNumbers w:val="0"/>
              <w:kinsoku/>
              <w:wordWrap/>
              <w:overflowPunct/>
              <w:topLinePunct w:val="0"/>
              <w:bidi w:val="0"/>
              <w:snapToGrid w:val="0"/>
              <w:spacing w:line="240" w:lineRule="auto"/>
              <w:jc w:val="center"/>
              <w:textAlignment w:val="center"/>
              <w:rPr>
                <w:rFonts w:hint="eastAsia" w:ascii="宋体" w:hAnsi="宋体" w:eastAsia="宋体" w:cs="宋体"/>
                <w:kern w:val="0"/>
                <w:sz w:val="21"/>
                <w:szCs w:val="21"/>
                <w:lang w:eastAsia="zh-CN"/>
              </w:rPr>
            </w:pPr>
            <w:r>
              <w:rPr>
                <w:rFonts w:hint="eastAsia" w:ascii="宋体" w:hAnsi="宋体" w:eastAsia="宋体" w:cs="宋体"/>
                <w:i w:val="0"/>
                <w:iCs w:val="0"/>
                <w:color w:val="000000"/>
                <w:kern w:val="0"/>
                <w:sz w:val="21"/>
                <w:szCs w:val="21"/>
                <w:u w:val="none"/>
                <w:lang w:val="en-US" w:eastAsia="zh-CN" w:bidi="ar"/>
              </w:rPr>
              <w:t>13.87</w:t>
            </w:r>
          </w:p>
        </w:tc>
        <w:tc>
          <w:tcPr>
            <w:tcW w:w="736" w:type="pct"/>
            <w:tcBorders>
              <w:tl2br w:val="nil"/>
              <w:tr2bl w:val="nil"/>
            </w:tcBorders>
            <w:noWrap w:val="0"/>
            <w:vAlign w:val="center"/>
          </w:tcPr>
          <w:p w14:paraId="68E58EE2">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val="en-US" w:eastAsia="zh-CN"/>
              </w:rPr>
              <w:t>/</w:t>
            </w:r>
          </w:p>
        </w:tc>
      </w:tr>
      <w:tr w14:paraId="08558B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355" w:type="pct"/>
            <w:tcBorders>
              <w:tl2br w:val="nil"/>
              <w:tr2bl w:val="nil"/>
            </w:tcBorders>
            <w:noWrap w:val="0"/>
            <w:vAlign w:val="center"/>
          </w:tcPr>
          <w:p w14:paraId="045CA054">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5</w:t>
            </w:r>
          </w:p>
        </w:tc>
        <w:tc>
          <w:tcPr>
            <w:tcW w:w="1050" w:type="pct"/>
            <w:tcBorders>
              <w:tl2br w:val="nil"/>
              <w:tr2bl w:val="nil"/>
            </w:tcBorders>
            <w:shd w:val="clear" w:color="auto" w:fill="auto"/>
            <w:noWrap w:val="0"/>
            <w:vAlign w:val="center"/>
          </w:tcPr>
          <w:p w14:paraId="40186024">
            <w:pPr>
              <w:keepNext w:val="0"/>
              <w:keepLines w:val="0"/>
              <w:pageBreakBefore w:val="0"/>
              <w:widowControl/>
              <w:suppressLineNumbers w:val="0"/>
              <w:kinsoku/>
              <w:wordWrap/>
              <w:overflowPunct/>
              <w:topLinePunct w:val="0"/>
              <w:bidi w:val="0"/>
              <w:snapToGrid w:val="0"/>
              <w:spacing w:line="240" w:lineRule="auto"/>
              <w:jc w:val="center"/>
              <w:textAlignment w:val="center"/>
              <w:rPr>
                <w:rFonts w:hint="eastAsia" w:ascii="宋体" w:hAnsi="宋体" w:eastAsia="宋体" w:cs="宋体"/>
                <w:color w:val="0000FF"/>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总磷</w:t>
            </w:r>
          </w:p>
        </w:tc>
        <w:tc>
          <w:tcPr>
            <w:tcW w:w="646" w:type="pct"/>
            <w:tcBorders>
              <w:tl2br w:val="nil"/>
              <w:tr2bl w:val="nil"/>
            </w:tcBorders>
            <w:noWrap w:val="0"/>
            <w:vAlign w:val="center"/>
          </w:tcPr>
          <w:p w14:paraId="2D614E5E">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val="en-US" w:eastAsia="zh-CN"/>
              </w:rPr>
              <w:t>/</w:t>
            </w:r>
          </w:p>
        </w:tc>
        <w:tc>
          <w:tcPr>
            <w:tcW w:w="736" w:type="pct"/>
            <w:vMerge w:val="continue"/>
            <w:tcBorders>
              <w:tl2br w:val="nil"/>
              <w:tr2bl w:val="nil"/>
            </w:tcBorders>
            <w:noWrap w:val="0"/>
            <w:vAlign w:val="center"/>
          </w:tcPr>
          <w:p w14:paraId="651043FE">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kern w:val="0"/>
                <w:sz w:val="21"/>
                <w:szCs w:val="21"/>
                <w:lang w:eastAsia="zh-CN"/>
              </w:rPr>
            </w:pPr>
          </w:p>
        </w:tc>
        <w:tc>
          <w:tcPr>
            <w:tcW w:w="736" w:type="pct"/>
            <w:tcBorders>
              <w:tl2br w:val="nil"/>
              <w:tr2bl w:val="nil"/>
            </w:tcBorders>
            <w:noWrap w:val="0"/>
            <w:vAlign w:val="center"/>
          </w:tcPr>
          <w:p w14:paraId="34DA27B7">
            <w:pPr>
              <w:keepNext w:val="0"/>
              <w:keepLines w:val="0"/>
              <w:pageBreakBefore w:val="0"/>
              <w:widowControl/>
              <w:suppressLineNumbers w:val="0"/>
              <w:kinsoku/>
              <w:wordWrap/>
              <w:overflowPunct/>
              <w:topLinePunct w:val="0"/>
              <w:bidi w:val="0"/>
              <w:snapToGrid w:val="0"/>
              <w:spacing w:line="240" w:lineRule="auto"/>
              <w:jc w:val="center"/>
              <w:textAlignment w:val="center"/>
              <w:rPr>
                <w:rFonts w:hint="eastAsia" w:ascii="宋体" w:hAnsi="宋体" w:eastAsia="宋体" w:cs="宋体"/>
                <w:kern w:val="0"/>
                <w:sz w:val="21"/>
                <w:szCs w:val="21"/>
                <w:lang w:eastAsia="zh-CN"/>
              </w:rPr>
            </w:pPr>
            <w:r>
              <w:rPr>
                <w:rFonts w:hint="eastAsia" w:ascii="宋体" w:hAnsi="宋体" w:eastAsia="宋体" w:cs="宋体"/>
                <w:i w:val="0"/>
                <w:iCs w:val="0"/>
                <w:color w:val="000000"/>
                <w:kern w:val="0"/>
                <w:sz w:val="21"/>
                <w:szCs w:val="21"/>
                <w:u w:val="none"/>
                <w:lang w:val="en-US" w:eastAsia="zh-CN" w:bidi="ar"/>
              </w:rPr>
              <w:t>0.03</w:t>
            </w:r>
          </w:p>
        </w:tc>
        <w:tc>
          <w:tcPr>
            <w:tcW w:w="736" w:type="pct"/>
            <w:tcBorders>
              <w:tl2br w:val="nil"/>
              <w:tr2bl w:val="nil"/>
            </w:tcBorders>
            <w:noWrap w:val="0"/>
            <w:vAlign w:val="center"/>
          </w:tcPr>
          <w:p w14:paraId="26444AA3">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宋体" w:hAnsi="宋体" w:eastAsia="宋体" w:cs="宋体"/>
                <w:kern w:val="0"/>
                <w:sz w:val="21"/>
                <w:szCs w:val="21"/>
                <w:lang w:val="en-US" w:eastAsia="zh-CN"/>
              </w:rPr>
            </w:pPr>
            <w:r>
              <w:rPr>
                <w:rFonts w:hint="eastAsia" w:ascii="宋体" w:hAnsi="宋体" w:eastAsia="宋体" w:cs="宋体"/>
                <w:i w:val="0"/>
                <w:iCs w:val="0"/>
                <w:color w:val="000000"/>
                <w:kern w:val="0"/>
                <w:sz w:val="21"/>
                <w:szCs w:val="21"/>
                <w:u w:val="none"/>
                <w:lang w:val="en-US" w:eastAsia="zh-CN" w:bidi="ar"/>
              </w:rPr>
              <w:t>0.055</w:t>
            </w:r>
          </w:p>
        </w:tc>
        <w:tc>
          <w:tcPr>
            <w:tcW w:w="736" w:type="pct"/>
            <w:tcBorders>
              <w:tl2br w:val="nil"/>
              <w:tr2bl w:val="nil"/>
            </w:tcBorders>
            <w:noWrap w:val="0"/>
            <w:vAlign w:val="center"/>
          </w:tcPr>
          <w:p w14:paraId="7A1258E7">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val="en-US" w:eastAsia="zh-CN"/>
              </w:rPr>
              <w:t>/</w:t>
            </w:r>
          </w:p>
        </w:tc>
      </w:tr>
      <w:tr w14:paraId="14F037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355" w:type="pct"/>
            <w:tcBorders>
              <w:tl2br w:val="nil"/>
              <w:tr2bl w:val="nil"/>
            </w:tcBorders>
            <w:noWrap w:val="0"/>
            <w:vAlign w:val="center"/>
          </w:tcPr>
          <w:p w14:paraId="76F29B82">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6</w:t>
            </w:r>
          </w:p>
        </w:tc>
        <w:tc>
          <w:tcPr>
            <w:tcW w:w="1050" w:type="pct"/>
            <w:tcBorders>
              <w:tl2br w:val="nil"/>
              <w:tr2bl w:val="nil"/>
            </w:tcBorders>
            <w:shd w:val="clear" w:color="auto" w:fill="auto"/>
            <w:noWrap w:val="0"/>
            <w:vAlign w:val="center"/>
          </w:tcPr>
          <w:p w14:paraId="47842FBA">
            <w:pPr>
              <w:keepNext w:val="0"/>
              <w:keepLines w:val="0"/>
              <w:pageBreakBefore w:val="0"/>
              <w:widowControl/>
              <w:suppressLineNumbers w:val="0"/>
              <w:kinsoku/>
              <w:wordWrap/>
              <w:overflowPunct/>
              <w:topLinePunct w:val="0"/>
              <w:bidi w:val="0"/>
              <w:snapToGrid w:val="0"/>
              <w:spacing w:line="240" w:lineRule="auto"/>
              <w:jc w:val="center"/>
              <w:textAlignment w:val="center"/>
              <w:rPr>
                <w:rFonts w:hint="eastAsia" w:ascii="宋体" w:hAnsi="宋体" w:eastAsia="宋体" w:cs="宋体"/>
                <w:color w:val="auto"/>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总氮</w:t>
            </w:r>
          </w:p>
        </w:tc>
        <w:tc>
          <w:tcPr>
            <w:tcW w:w="646" w:type="pct"/>
            <w:tcBorders>
              <w:tl2br w:val="nil"/>
              <w:tr2bl w:val="nil"/>
            </w:tcBorders>
            <w:shd w:val="clear" w:color="auto" w:fill="auto"/>
            <w:noWrap w:val="0"/>
            <w:vAlign w:val="center"/>
          </w:tcPr>
          <w:p w14:paraId="47786C5E">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w:t>
            </w:r>
          </w:p>
        </w:tc>
        <w:tc>
          <w:tcPr>
            <w:tcW w:w="736" w:type="pct"/>
            <w:vMerge w:val="continue"/>
            <w:tcBorders>
              <w:tl2br w:val="nil"/>
              <w:tr2bl w:val="nil"/>
            </w:tcBorders>
            <w:shd w:val="clear" w:color="auto" w:fill="auto"/>
            <w:noWrap w:val="0"/>
            <w:vAlign w:val="center"/>
          </w:tcPr>
          <w:p w14:paraId="66FFEEDC">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kern w:val="0"/>
                <w:sz w:val="21"/>
                <w:szCs w:val="21"/>
                <w:lang w:val="en-US" w:eastAsia="zh-CN" w:bidi="ar-SA"/>
              </w:rPr>
            </w:pPr>
          </w:p>
        </w:tc>
        <w:tc>
          <w:tcPr>
            <w:tcW w:w="736" w:type="pct"/>
            <w:tcBorders>
              <w:tl2br w:val="nil"/>
              <w:tr2bl w:val="nil"/>
            </w:tcBorders>
            <w:shd w:val="clear" w:color="auto" w:fill="auto"/>
            <w:noWrap w:val="0"/>
            <w:vAlign w:val="center"/>
          </w:tcPr>
          <w:p w14:paraId="565EB21B">
            <w:pPr>
              <w:keepNext w:val="0"/>
              <w:keepLines w:val="0"/>
              <w:pageBreakBefore w:val="0"/>
              <w:widowControl/>
              <w:suppressLineNumbers w:val="0"/>
              <w:kinsoku/>
              <w:wordWrap/>
              <w:overflowPunct/>
              <w:topLinePunct w:val="0"/>
              <w:bidi w:val="0"/>
              <w:snapToGrid w:val="0"/>
              <w:spacing w:line="240" w:lineRule="auto"/>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1.52</w:t>
            </w:r>
          </w:p>
        </w:tc>
        <w:tc>
          <w:tcPr>
            <w:tcW w:w="736" w:type="pct"/>
            <w:tcBorders>
              <w:tl2br w:val="nil"/>
              <w:tr2bl w:val="nil"/>
            </w:tcBorders>
            <w:shd w:val="clear" w:color="auto" w:fill="auto"/>
            <w:noWrap w:val="0"/>
            <w:vAlign w:val="center"/>
          </w:tcPr>
          <w:p w14:paraId="6EFB056C">
            <w:pPr>
              <w:keepNext w:val="0"/>
              <w:keepLines w:val="0"/>
              <w:pageBreakBefore w:val="0"/>
              <w:widowControl/>
              <w:suppressLineNumbers w:val="0"/>
              <w:kinsoku/>
              <w:wordWrap/>
              <w:overflowPunct/>
              <w:topLinePunct w:val="0"/>
              <w:bidi w:val="0"/>
              <w:snapToGrid w:val="0"/>
              <w:spacing w:line="240" w:lineRule="auto"/>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2.774</w:t>
            </w:r>
          </w:p>
        </w:tc>
        <w:tc>
          <w:tcPr>
            <w:tcW w:w="736" w:type="pct"/>
            <w:tcBorders>
              <w:tl2br w:val="nil"/>
              <w:tr2bl w:val="nil"/>
            </w:tcBorders>
            <w:noWrap w:val="0"/>
            <w:vAlign w:val="center"/>
          </w:tcPr>
          <w:p w14:paraId="30980A8B">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val="en-US" w:eastAsia="zh-CN"/>
              </w:rPr>
              <w:t>/</w:t>
            </w:r>
          </w:p>
        </w:tc>
      </w:tr>
      <w:tr w14:paraId="15EC88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355" w:type="pct"/>
            <w:tcBorders>
              <w:tl2br w:val="nil"/>
              <w:tr2bl w:val="nil"/>
            </w:tcBorders>
            <w:noWrap w:val="0"/>
            <w:vAlign w:val="center"/>
          </w:tcPr>
          <w:p w14:paraId="4E451C4B">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7</w:t>
            </w:r>
          </w:p>
        </w:tc>
        <w:tc>
          <w:tcPr>
            <w:tcW w:w="1050" w:type="pct"/>
            <w:tcBorders>
              <w:tl2br w:val="nil"/>
              <w:tr2bl w:val="nil"/>
            </w:tcBorders>
            <w:shd w:val="clear" w:color="auto" w:fill="auto"/>
            <w:noWrap w:val="0"/>
            <w:vAlign w:val="center"/>
          </w:tcPr>
          <w:p w14:paraId="175DA48D">
            <w:pPr>
              <w:keepNext w:val="0"/>
              <w:keepLines w:val="0"/>
              <w:pageBreakBefore w:val="0"/>
              <w:widowControl/>
              <w:suppressLineNumbers w:val="0"/>
              <w:kinsoku/>
              <w:wordWrap/>
              <w:overflowPunct/>
              <w:topLinePunct w:val="0"/>
              <w:bidi w:val="0"/>
              <w:snapToGrid w:val="0"/>
              <w:spacing w:line="240" w:lineRule="auto"/>
              <w:jc w:val="center"/>
              <w:textAlignment w:val="center"/>
              <w:rPr>
                <w:rFonts w:hint="eastAsia" w:ascii="宋体" w:hAnsi="宋体" w:eastAsia="宋体" w:cs="宋体"/>
                <w:color w:val="auto"/>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氟化物</w:t>
            </w:r>
          </w:p>
        </w:tc>
        <w:tc>
          <w:tcPr>
            <w:tcW w:w="646" w:type="pct"/>
            <w:tcBorders>
              <w:tl2br w:val="nil"/>
              <w:tr2bl w:val="nil"/>
            </w:tcBorders>
            <w:shd w:val="clear" w:color="auto" w:fill="auto"/>
            <w:noWrap w:val="0"/>
            <w:vAlign w:val="top"/>
          </w:tcPr>
          <w:p w14:paraId="481EF133">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w:t>
            </w:r>
          </w:p>
        </w:tc>
        <w:tc>
          <w:tcPr>
            <w:tcW w:w="736" w:type="pct"/>
            <w:vMerge w:val="continue"/>
            <w:tcBorders>
              <w:tl2br w:val="nil"/>
              <w:tr2bl w:val="nil"/>
            </w:tcBorders>
            <w:shd w:val="clear" w:color="auto" w:fill="auto"/>
            <w:noWrap w:val="0"/>
            <w:vAlign w:val="top"/>
          </w:tcPr>
          <w:p w14:paraId="32EA3322">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kern w:val="0"/>
                <w:sz w:val="21"/>
                <w:szCs w:val="21"/>
                <w:lang w:val="en-US" w:eastAsia="zh-CN" w:bidi="ar-SA"/>
              </w:rPr>
            </w:pPr>
          </w:p>
        </w:tc>
        <w:tc>
          <w:tcPr>
            <w:tcW w:w="736" w:type="pct"/>
            <w:tcBorders>
              <w:tl2br w:val="nil"/>
              <w:tr2bl w:val="nil"/>
            </w:tcBorders>
            <w:shd w:val="clear" w:color="auto" w:fill="auto"/>
            <w:noWrap w:val="0"/>
            <w:vAlign w:val="center"/>
          </w:tcPr>
          <w:p w14:paraId="7AEB3FB0">
            <w:pPr>
              <w:keepNext w:val="0"/>
              <w:keepLines w:val="0"/>
              <w:pageBreakBefore w:val="0"/>
              <w:widowControl/>
              <w:suppressLineNumbers w:val="0"/>
              <w:kinsoku/>
              <w:wordWrap/>
              <w:overflowPunct/>
              <w:topLinePunct w:val="0"/>
              <w:bidi w:val="0"/>
              <w:snapToGrid w:val="0"/>
              <w:spacing w:line="240" w:lineRule="auto"/>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1.35</w:t>
            </w:r>
          </w:p>
        </w:tc>
        <w:tc>
          <w:tcPr>
            <w:tcW w:w="736" w:type="pct"/>
            <w:tcBorders>
              <w:tl2br w:val="nil"/>
              <w:tr2bl w:val="nil"/>
            </w:tcBorders>
            <w:shd w:val="clear" w:color="auto" w:fill="auto"/>
            <w:noWrap w:val="0"/>
            <w:vAlign w:val="center"/>
          </w:tcPr>
          <w:p w14:paraId="14B59A2B">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宋体" w:hAnsi="宋体" w:eastAsia="宋体" w:cs="宋体"/>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2.464</w:t>
            </w:r>
          </w:p>
        </w:tc>
        <w:tc>
          <w:tcPr>
            <w:tcW w:w="736" w:type="pct"/>
            <w:tcBorders>
              <w:tl2br w:val="nil"/>
              <w:tr2bl w:val="nil"/>
            </w:tcBorders>
            <w:noWrap w:val="0"/>
            <w:vAlign w:val="center"/>
          </w:tcPr>
          <w:p w14:paraId="1EA15F5B">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val="en-US" w:eastAsia="zh-CN"/>
              </w:rPr>
              <w:t>/</w:t>
            </w:r>
          </w:p>
        </w:tc>
      </w:tr>
    </w:tbl>
    <w:p w14:paraId="5B0B461A">
      <w:pPr>
        <w:keepNext w:val="0"/>
        <w:keepLines w:val="0"/>
        <w:pageBreakBefore w:val="0"/>
        <w:widowControl/>
        <w:suppressLineNumbers w:val="0"/>
        <w:kinsoku/>
        <w:wordWrap/>
        <w:topLinePunct w:val="0"/>
        <w:bidi w:val="0"/>
        <w:snapToGrid/>
        <w:spacing w:line="360" w:lineRule="auto"/>
        <w:ind w:firstLine="480" w:firstLineChars="200"/>
        <w:jc w:val="both"/>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根据验收监测期间监测结果，本项目年排放化学需氧量（</w:t>
      </w:r>
      <w:r>
        <w:rPr>
          <w:rFonts w:hint="default" w:ascii="宋体" w:hAnsi="宋体" w:eastAsia="宋体" w:cs="宋体"/>
          <w:color w:val="000000"/>
          <w:kern w:val="0"/>
          <w:sz w:val="24"/>
          <w:szCs w:val="24"/>
          <w:lang w:val="en-US" w:eastAsia="zh-CN" w:bidi="ar"/>
        </w:rPr>
        <w:t>COD</w:t>
      </w:r>
      <w:r>
        <w:rPr>
          <w:rFonts w:hint="eastAsia" w:ascii="宋体" w:hAnsi="宋体" w:eastAsia="宋体" w:cs="宋体"/>
          <w:color w:val="000000"/>
          <w:kern w:val="0"/>
          <w:sz w:val="24"/>
          <w:szCs w:val="24"/>
          <w:lang w:val="en-US" w:eastAsia="zh-CN" w:bidi="ar"/>
        </w:rPr>
        <w:t>）78.293</w:t>
      </w:r>
      <w:r>
        <w:rPr>
          <w:rFonts w:hint="default" w:ascii="宋体" w:hAnsi="宋体" w:eastAsia="宋体" w:cs="宋体"/>
          <w:color w:val="000000"/>
          <w:kern w:val="0"/>
          <w:sz w:val="24"/>
          <w:szCs w:val="24"/>
          <w:lang w:val="en-US" w:eastAsia="zh-CN" w:bidi="ar"/>
        </w:rPr>
        <w:t>t/a</w:t>
      </w:r>
      <w:r>
        <w:rPr>
          <w:rFonts w:hint="eastAsia" w:ascii="宋体" w:hAnsi="宋体" w:eastAsia="宋体" w:cs="宋体"/>
          <w:color w:val="000000"/>
          <w:kern w:val="0"/>
          <w:sz w:val="24"/>
          <w:szCs w:val="24"/>
          <w:lang w:val="en-US" w:eastAsia="zh-CN" w:bidi="ar"/>
        </w:rPr>
        <w:t>，氨氮0.728</w:t>
      </w:r>
      <w:r>
        <w:rPr>
          <w:rFonts w:hint="default" w:ascii="宋体" w:hAnsi="宋体" w:eastAsia="宋体" w:cs="宋体"/>
          <w:color w:val="000000"/>
          <w:kern w:val="0"/>
          <w:sz w:val="24"/>
          <w:szCs w:val="24"/>
          <w:lang w:val="en-US" w:eastAsia="zh-CN" w:bidi="ar"/>
        </w:rPr>
        <w:t>t/a</w:t>
      </w:r>
      <w:r>
        <w:rPr>
          <w:rFonts w:hint="eastAsia" w:ascii="宋体" w:hAnsi="宋体" w:eastAsia="宋体" w:cs="宋体"/>
          <w:color w:val="000000"/>
          <w:kern w:val="0"/>
          <w:sz w:val="24"/>
          <w:szCs w:val="24"/>
          <w:lang w:val="en-US" w:eastAsia="zh-CN" w:bidi="ar"/>
        </w:rPr>
        <w:t>，均符合本项目环评文件及其审批意见所提出总量控制要求。</w:t>
      </w:r>
    </w:p>
    <w:p w14:paraId="21C3CEE4">
      <w:pPr>
        <w:rPr>
          <w:rFonts w:hint="default" w:ascii="宋体" w:hAnsi="宋体" w:eastAsia="宋体" w:cs="宋体"/>
          <w:b/>
          <w:bCs/>
          <w:color w:val="000000"/>
          <w:kern w:val="0"/>
          <w:sz w:val="28"/>
          <w:szCs w:val="28"/>
          <w:lang w:val="en-US" w:eastAsia="zh-CN" w:bidi="ar"/>
        </w:rPr>
      </w:pPr>
      <w:r>
        <w:rPr>
          <w:rFonts w:hint="default" w:ascii="宋体" w:hAnsi="宋体" w:eastAsia="宋体" w:cs="宋体"/>
          <w:b/>
          <w:bCs/>
          <w:color w:val="000000"/>
          <w:kern w:val="0"/>
          <w:sz w:val="28"/>
          <w:szCs w:val="28"/>
          <w:lang w:val="en-US" w:eastAsia="zh-CN" w:bidi="ar"/>
        </w:rPr>
        <w:br w:type="page"/>
      </w:r>
    </w:p>
    <w:p w14:paraId="3676C1A6">
      <w:pPr>
        <w:pStyle w:val="9"/>
        <w:keepNext w:val="0"/>
        <w:keepLines w:val="0"/>
        <w:pageBreakBefore w:val="0"/>
        <w:widowControl w:val="0"/>
        <w:kinsoku/>
        <w:wordWrap/>
        <w:overflowPunct/>
        <w:topLinePunct w:val="0"/>
        <w:autoSpaceDE/>
        <w:autoSpaceDN/>
        <w:bidi w:val="0"/>
        <w:adjustRightInd/>
        <w:snapToGrid w:val="0"/>
        <w:spacing w:after="0" w:line="360" w:lineRule="auto"/>
        <w:ind w:left="0" w:leftChars="0" w:firstLine="0" w:firstLineChars="0"/>
        <w:jc w:val="both"/>
        <w:textAlignment w:val="auto"/>
        <w:outlineLvl w:val="0"/>
        <w:rPr>
          <w:rFonts w:hint="eastAsia" w:ascii="宋体" w:hAnsi="宋体" w:eastAsia="宋体" w:cs="宋体"/>
          <w:b/>
          <w:bCs/>
          <w:color w:val="000000"/>
          <w:kern w:val="0"/>
          <w:sz w:val="32"/>
          <w:szCs w:val="32"/>
          <w:lang w:val="en-US" w:eastAsia="zh-CN" w:bidi="ar"/>
        </w:rPr>
      </w:pPr>
      <w:bookmarkStart w:id="75" w:name="_Toc13698"/>
      <w:r>
        <w:rPr>
          <w:rFonts w:hint="eastAsia" w:ascii="宋体" w:hAnsi="宋体" w:cs="宋体"/>
          <w:b/>
          <w:bCs/>
          <w:color w:val="000000"/>
          <w:kern w:val="0"/>
          <w:sz w:val="32"/>
          <w:szCs w:val="32"/>
          <w:lang w:val="en-US" w:eastAsia="zh-CN" w:bidi="ar"/>
        </w:rPr>
        <w:t>10</w:t>
      </w:r>
      <w:r>
        <w:rPr>
          <w:rFonts w:hint="default" w:ascii="宋体" w:hAnsi="宋体" w:eastAsia="宋体" w:cs="宋体"/>
          <w:b/>
          <w:bCs/>
          <w:color w:val="000000"/>
          <w:kern w:val="0"/>
          <w:sz w:val="32"/>
          <w:szCs w:val="32"/>
          <w:lang w:val="en-US" w:eastAsia="zh-CN" w:bidi="ar"/>
        </w:rPr>
        <w:t>.</w:t>
      </w:r>
      <w:r>
        <w:rPr>
          <w:rFonts w:hint="eastAsia" w:ascii="宋体" w:hAnsi="宋体" w:eastAsia="宋体" w:cs="宋体"/>
          <w:b/>
          <w:bCs/>
          <w:color w:val="000000"/>
          <w:kern w:val="0"/>
          <w:sz w:val="32"/>
          <w:szCs w:val="32"/>
          <w:lang w:val="en-US" w:eastAsia="zh-CN" w:bidi="ar"/>
        </w:rPr>
        <w:t xml:space="preserve"> </w:t>
      </w:r>
      <w:r>
        <w:rPr>
          <w:rFonts w:hint="default" w:ascii="宋体" w:hAnsi="宋体" w:eastAsia="宋体" w:cs="宋体"/>
          <w:b/>
          <w:bCs/>
          <w:color w:val="000000"/>
          <w:kern w:val="0"/>
          <w:sz w:val="32"/>
          <w:szCs w:val="32"/>
          <w:lang w:val="en-US" w:eastAsia="zh-CN" w:bidi="ar"/>
        </w:rPr>
        <w:t xml:space="preserve"> </w:t>
      </w:r>
      <w:r>
        <w:rPr>
          <w:rFonts w:hint="eastAsia" w:ascii="宋体" w:hAnsi="宋体" w:eastAsia="宋体" w:cs="宋体"/>
          <w:b/>
          <w:bCs/>
          <w:color w:val="000000"/>
          <w:kern w:val="0"/>
          <w:sz w:val="32"/>
          <w:szCs w:val="32"/>
          <w:lang w:val="en-US" w:eastAsia="zh-CN" w:bidi="ar"/>
        </w:rPr>
        <w:t>环境管理检查</w:t>
      </w:r>
      <w:bookmarkEnd w:id="75"/>
    </w:p>
    <w:p w14:paraId="13C84839">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1"/>
        <w:rPr>
          <w:rFonts w:hint="eastAsia" w:ascii="宋体" w:hAnsi="宋体" w:eastAsia="宋体" w:cs="宋体"/>
          <w:b/>
          <w:bCs/>
          <w:color w:val="000000"/>
          <w:kern w:val="0"/>
          <w:sz w:val="28"/>
          <w:szCs w:val="28"/>
          <w:lang w:val="en-US" w:eastAsia="zh-CN" w:bidi="ar"/>
        </w:rPr>
      </w:pPr>
      <w:bookmarkStart w:id="76" w:name="_Toc6080"/>
      <w:r>
        <w:rPr>
          <w:rFonts w:hint="eastAsia" w:ascii="宋体" w:hAnsi="宋体" w:eastAsia="宋体" w:cs="宋体"/>
          <w:b/>
          <w:bCs/>
          <w:color w:val="000000"/>
          <w:kern w:val="0"/>
          <w:sz w:val="28"/>
          <w:szCs w:val="28"/>
          <w:lang w:val="en-US" w:eastAsia="zh-CN" w:bidi="ar"/>
        </w:rPr>
        <w:t>10.1  环保审批手续</w:t>
      </w:r>
      <w:bookmarkEnd w:id="76"/>
      <w:r>
        <w:rPr>
          <w:rFonts w:hint="eastAsia" w:ascii="宋体" w:hAnsi="宋体" w:eastAsia="宋体" w:cs="宋体"/>
          <w:b/>
          <w:bCs/>
          <w:color w:val="000000"/>
          <w:kern w:val="0"/>
          <w:sz w:val="28"/>
          <w:szCs w:val="28"/>
          <w:lang w:val="en-US" w:eastAsia="zh-CN" w:bidi="ar"/>
        </w:rPr>
        <w:t xml:space="preserve"> </w:t>
      </w:r>
    </w:p>
    <w:p w14:paraId="04D4FE98">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default" w:ascii="宋体" w:hAnsi="宋体" w:eastAsia="宋体" w:cs="宋体"/>
          <w:color w:val="000000" w:themeColor="text1"/>
          <w:kern w:val="0"/>
          <w:sz w:val="24"/>
          <w:szCs w:val="20"/>
          <w:lang w:val="en-US" w:eastAsia="zh-CN" w:bidi="ar-SA"/>
          <w14:textFill>
            <w14:solidFill>
              <w14:schemeClr w14:val="tx1"/>
            </w14:solidFill>
          </w14:textFill>
        </w:rPr>
      </w:pPr>
      <w:r>
        <w:rPr>
          <w:rFonts w:hint="eastAsia" w:ascii="宋体" w:hAnsi="宋体" w:eastAsia="宋体" w:cs="宋体"/>
          <w:color w:val="000000" w:themeColor="text1"/>
          <w:kern w:val="0"/>
          <w:sz w:val="24"/>
          <w:szCs w:val="20"/>
          <w:lang w:val="en-US" w:eastAsia="zh-CN" w:bidi="ar-SA"/>
          <w14:textFill>
            <w14:solidFill>
              <w14:schemeClr w14:val="tx1"/>
            </w14:solidFill>
          </w14:textFill>
        </w:rPr>
        <w:t>2019年3月7日，和县发展和改革委员会以和发改行审</w:t>
      </w:r>
      <w:r>
        <w:rPr>
          <w:rFonts w:hint="eastAsia" w:ascii="宋体" w:hAnsi="宋体" w:cs="宋体"/>
          <w:color w:val="000000" w:themeColor="text1"/>
          <w:kern w:val="0"/>
          <w:sz w:val="24"/>
          <w:szCs w:val="20"/>
          <w:lang w:val="en-US" w:eastAsia="zh-CN" w:bidi="ar-SA"/>
          <w14:textFill>
            <w14:solidFill>
              <w14:schemeClr w14:val="tx1"/>
            </w14:solidFill>
          </w14:textFill>
        </w:rPr>
        <w:t>〔2019〕30号</w:t>
      </w:r>
      <w:r>
        <w:rPr>
          <w:rFonts w:hint="eastAsia" w:ascii="宋体" w:hAnsi="宋体" w:eastAsia="宋体" w:cs="宋体"/>
          <w:color w:val="000000" w:themeColor="text1"/>
          <w:kern w:val="0"/>
          <w:sz w:val="24"/>
          <w:szCs w:val="20"/>
          <w:lang w:val="en-US" w:eastAsia="zh-CN" w:bidi="ar-SA"/>
          <w14:textFill>
            <w14:solidFill>
              <w14:schemeClr w14:val="tx1"/>
            </w14:solidFill>
          </w14:textFill>
        </w:rPr>
        <w:t>对项目进行备案，备案号为2019-340523-78-03-000610，安徽锦程安环科技发展有限公司于2020年4月份完成了《和县经济开发区污水处理厂及配套管网工程项目环境影响报告书》的编制。2020年6月8日马鞍山市生态环境局以《关于</w:t>
      </w:r>
      <w:r>
        <w:rPr>
          <w:rFonts w:hint="eastAsia" w:ascii="宋体" w:hAnsi="宋体" w:cs="宋体"/>
          <w:color w:val="000000" w:themeColor="text1"/>
          <w:kern w:val="0"/>
          <w:sz w:val="24"/>
          <w:szCs w:val="20"/>
          <w:lang w:val="en-US" w:eastAsia="zh-CN" w:bidi="ar-SA"/>
          <w14:textFill>
            <w14:solidFill>
              <w14:schemeClr w14:val="tx1"/>
            </w14:solidFill>
          </w14:textFill>
        </w:rPr>
        <w:t>和县三峡水环境综合治理有限责任公司</w:t>
      </w:r>
      <w:r>
        <w:rPr>
          <w:rFonts w:hint="eastAsia" w:ascii="宋体" w:hAnsi="宋体" w:eastAsia="宋体" w:cs="宋体"/>
          <w:color w:val="000000" w:themeColor="text1"/>
          <w:kern w:val="0"/>
          <w:sz w:val="24"/>
          <w:szCs w:val="20"/>
          <w:lang w:val="en-US" w:eastAsia="zh-CN" w:bidi="ar-SA"/>
          <w14:textFill>
            <w14:solidFill>
              <w14:schemeClr w14:val="tx1"/>
            </w14:solidFill>
          </w14:textFill>
        </w:rPr>
        <w:t>和县经济开发区污水处理厂及配套管网工程项目环境影响报告书的批复》【马环审〔2020〕195号】进行了审批。一期二阶段于2024年12月份建成，按照国家政策规定，正在组织自主验收。</w:t>
      </w:r>
    </w:p>
    <w:p w14:paraId="6DCC4833">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1"/>
        <w:rPr>
          <w:rFonts w:hint="eastAsia" w:ascii="宋体" w:hAnsi="宋体" w:eastAsia="宋体" w:cs="宋体"/>
          <w:b/>
          <w:bCs/>
          <w:color w:val="000000"/>
          <w:kern w:val="0"/>
          <w:sz w:val="28"/>
          <w:szCs w:val="28"/>
          <w:lang w:val="en-US" w:eastAsia="zh-CN" w:bidi="ar"/>
        </w:rPr>
      </w:pPr>
      <w:bookmarkStart w:id="77" w:name="_Toc25430"/>
      <w:r>
        <w:rPr>
          <w:rFonts w:hint="eastAsia" w:ascii="宋体" w:hAnsi="宋体" w:eastAsia="宋体" w:cs="宋体"/>
          <w:b/>
          <w:bCs/>
          <w:color w:val="000000"/>
          <w:kern w:val="0"/>
          <w:sz w:val="28"/>
          <w:szCs w:val="28"/>
          <w:lang w:val="en-US" w:eastAsia="zh-CN" w:bidi="ar"/>
        </w:rPr>
        <w:t>10.2  环境管理制度</w:t>
      </w:r>
      <w:bookmarkEnd w:id="77"/>
    </w:p>
    <w:p w14:paraId="59CC03CC">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0"/>
          <w:lang w:val="en-US" w:eastAsia="zh-CN" w:bidi="ar-SA"/>
          <w14:textFill>
            <w14:solidFill>
              <w14:schemeClr w14:val="tx1"/>
            </w14:solidFill>
          </w14:textFill>
        </w:rPr>
      </w:pPr>
      <w:r>
        <w:rPr>
          <w:rFonts w:hint="eastAsia" w:ascii="宋体" w:hAnsi="宋体" w:eastAsia="宋体" w:cs="宋体"/>
          <w:color w:val="000000" w:themeColor="text1"/>
          <w:kern w:val="0"/>
          <w:sz w:val="24"/>
          <w:szCs w:val="20"/>
          <w:lang w:val="en-US" w:eastAsia="zh-CN" w:bidi="ar-SA"/>
          <w14:textFill>
            <w14:solidFill>
              <w14:schemeClr w14:val="tx1"/>
            </w14:solidFill>
          </w14:textFill>
        </w:rPr>
        <w:t>（1）环境管理机构</w:t>
      </w:r>
    </w:p>
    <w:p w14:paraId="2EA9F2F1">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0"/>
          <w:lang w:val="en-US" w:eastAsia="zh-CN" w:bidi="ar-SA"/>
          <w14:textFill>
            <w14:solidFill>
              <w14:schemeClr w14:val="tx1"/>
            </w14:solidFill>
          </w14:textFill>
        </w:rPr>
      </w:pPr>
      <w:r>
        <w:rPr>
          <w:rFonts w:hint="eastAsia" w:ascii="宋体" w:hAnsi="宋体" w:eastAsia="宋体" w:cs="宋体"/>
          <w:color w:val="000000" w:themeColor="text1"/>
          <w:kern w:val="0"/>
          <w:sz w:val="24"/>
          <w:szCs w:val="20"/>
          <w:lang w:val="en-US" w:eastAsia="zh-CN" w:bidi="ar-SA"/>
          <w14:textFill>
            <w14:solidFill>
              <w14:schemeClr w14:val="tx1"/>
            </w14:solidFill>
          </w14:textFill>
        </w:rPr>
        <w:t>项目已</w:t>
      </w:r>
      <w:r>
        <w:rPr>
          <w:rFonts w:hint="eastAsia" w:ascii="宋体" w:hAnsi="宋体" w:cs="宋体"/>
          <w:color w:val="000000" w:themeColor="text1"/>
          <w:kern w:val="0"/>
          <w:sz w:val="24"/>
          <w:szCs w:val="20"/>
          <w:lang w:val="en-US" w:eastAsia="zh-CN" w:bidi="ar-SA"/>
          <w14:textFill>
            <w14:solidFill>
              <w14:schemeClr w14:val="tx1"/>
            </w14:solidFill>
          </w14:textFill>
        </w:rPr>
        <w:t>进入</w:t>
      </w:r>
      <w:r>
        <w:rPr>
          <w:rFonts w:hint="eastAsia" w:ascii="宋体" w:hAnsi="宋体" w:eastAsia="宋体" w:cs="宋体"/>
          <w:color w:val="000000" w:themeColor="text1"/>
          <w:kern w:val="0"/>
          <w:sz w:val="24"/>
          <w:szCs w:val="20"/>
          <w:lang w:val="en-US" w:eastAsia="zh-CN" w:bidi="ar-SA"/>
          <w14:textFill>
            <w14:solidFill>
              <w14:schemeClr w14:val="tx1"/>
            </w14:solidFill>
          </w14:textFill>
        </w:rPr>
        <w:t>验收阶段，等验收结束后转为正常的生产，污水处理厂将实行运营经理负责制，设综合管理部、化验室、机修、运行车间、安全环保部、设备部等。职能部门设置如下：</w:t>
      </w:r>
    </w:p>
    <w:p w14:paraId="62754AF4">
      <w:pPr>
        <w:pStyle w:val="9"/>
        <w:keepNext w:val="0"/>
        <w:keepLines w:val="0"/>
        <w:pageBreakBefore w:val="0"/>
        <w:widowControl w:val="0"/>
        <w:kinsoku/>
        <w:wordWrap/>
        <w:overflowPunct/>
        <w:topLinePunct w:val="0"/>
        <w:autoSpaceDE/>
        <w:autoSpaceDN/>
        <w:bidi w:val="0"/>
        <w:adjustRightInd/>
        <w:snapToGrid w:val="0"/>
        <w:spacing w:after="0" w:line="360" w:lineRule="auto"/>
        <w:ind w:left="0" w:leftChars="0" w:firstLine="0" w:firstLineChars="0"/>
        <w:jc w:val="both"/>
        <w:textAlignment w:val="auto"/>
        <w:outlineLvl w:val="9"/>
      </w:pPr>
      <w:r>
        <w:drawing>
          <wp:inline distT="0" distB="0" distL="114300" distR="114300">
            <wp:extent cx="5297170" cy="3509645"/>
            <wp:effectExtent l="0" t="0" r="17780"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7"/>
                    <a:stretch>
                      <a:fillRect/>
                    </a:stretch>
                  </pic:blipFill>
                  <pic:spPr>
                    <a:xfrm>
                      <a:off x="0" y="0"/>
                      <a:ext cx="5297170" cy="3509645"/>
                    </a:xfrm>
                    <a:prstGeom prst="rect">
                      <a:avLst/>
                    </a:prstGeom>
                    <a:noFill/>
                    <a:ln>
                      <a:noFill/>
                    </a:ln>
                  </pic:spPr>
                </pic:pic>
              </a:graphicData>
            </a:graphic>
          </wp:inline>
        </w:drawing>
      </w:r>
    </w:p>
    <w:p w14:paraId="497E3E28">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0"/>
          <w:lang w:val="en-US" w:eastAsia="zh-CN" w:bidi="ar-SA"/>
          <w14:textFill>
            <w14:solidFill>
              <w14:schemeClr w14:val="tx1"/>
            </w14:solidFill>
          </w14:textFill>
        </w:rPr>
      </w:pPr>
    </w:p>
    <w:p w14:paraId="2DCEC5B3">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0"/>
          <w:lang w:val="en-US" w:eastAsia="zh-CN" w:bidi="ar-SA"/>
          <w14:textFill>
            <w14:solidFill>
              <w14:schemeClr w14:val="tx1"/>
            </w14:solidFill>
          </w14:textFill>
        </w:rPr>
      </w:pPr>
    </w:p>
    <w:p w14:paraId="5B21A8C3">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0"/>
          <w:lang w:val="en-US" w:eastAsia="zh-CN" w:bidi="ar-SA"/>
          <w14:textFill>
            <w14:solidFill>
              <w14:schemeClr w14:val="tx1"/>
            </w14:solidFill>
          </w14:textFill>
        </w:rPr>
      </w:pPr>
    </w:p>
    <w:p w14:paraId="12C4E536">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0"/>
          <w:lang w:val="en-US" w:eastAsia="zh-CN" w:bidi="ar-SA"/>
          <w14:textFill>
            <w14:solidFill>
              <w14:schemeClr w14:val="tx1"/>
            </w14:solidFill>
          </w14:textFill>
        </w:rPr>
      </w:pPr>
      <w:r>
        <w:rPr>
          <w:rFonts w:hint="eastAsia" w:ascii="宋体" w:hAnsi="宋体" w:eastAsia="宋体" w:cs="宋体"/>
          <w:color w:val="000000" w:themeColor="text1"/>
          <w:kern w:val="0"/>
          <w:sz w:val="24"/>
          <w:szCs w:val="20"/>
          <w:lang w:val="en-US" w:eastAsia="zh-CN" w:bidi="ar-SA"/>
          <w14:textFill>
            <w14:solidFill>
              <w14:schemeClr w14:val="tx1"/>
            </w14:solidFill>
          </w14:textFill>
        </w:rPr>
        <w:t>（2）环保管理规章制度</w:t>
      </w:r>
    </w:p>
    <w:p w14:paraId="316E8731">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0"/>
          <w:lang w:val="en-US" w:eastAsia="zh-CN" w:bidi="ar-SA"/>
          <w14:textFill>
            <w14:solidFill>
              <w14:schemeClr w14:val="tx1"/>
            </w14:solidFill>
          </w14:textFill>
        </w:rPr>
      </w:pPr>
      <w:r>
        <w:rPr>
          <w:rFonts w:hint="eastAsia" w:ascii="宋体" w:hAnsi="宋体" w:eastAsia="宋体" w:cs="宋体"/>
          <w:color w:val="000000" w:themeColor="text1"/>
          <w:kern w:val="0"/>
          <w:sz w:val="24"/>
          <w:szCs w:val="20"/>
          <w:lang w:val="en-US" w:eastAsia="zh-CN" w:bidi="ar-SA"/>
          <w14:textFill>
            <w14:solidFill>
              <w14:schemeClr w14:val="tx1"/>
            </w14:solidFill>
          </w14:textFill>
        </w:rPr>
        <w:t>公司已经编制了相关的环保管理制度。具体如下：</w:t>
      </w:r>
    </w:p>
    <w:tbl>
      <w:tblPr>
        <w:tblStyle w:val="1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7274"/>
      </w:tblGrid>
      <w:tr w14:paraId="451558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pct"/>
            <w:noWrap w:val="0"/>
            <w:vAlign w:val="center"/>
          </w:tcPr>
          <w:p w14:paraId="38F88BC5">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val="en-US" w:eastAsia="zh-CN"/>
              </w:rPr>
              <w:t>序号</w:t>
            </w:r>
          </w:p>
        </w:tc>
        <w:tc>
          <w:tcPr>
            <w:tcW w:w="4268" w:type="pct"/>
            <w:noWrap w:val="0"/>
            <w:vAlign w:val="center"/>
          </w:tcPr>
          <w:p w14:paraId="3AC59A46">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val="en-US" w:eastAsia="zh-CN"/>
              </w:rPr>
              <w:t>制度名称</w:t>
            </w:r>
          </w:p>
        </w:tc>
      </w:tr>
      <w:tr w14:paraId="49F66D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pct"/>
            <w:noWrap w:val="0"/>
            <w:vAlign w:val="center"/>
          </w:tcPr>
          <w:p w14:paraId="0410A7B4">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4268" w:type="pct"/>
            <w:noWrap w:val="0"/>
            <w:vAlign w:val="center"/>
          </w:tcPr>
          <w:p w14:paraId="11153E14">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eastAsia" w:ascii="宋体" w:hAnsi="宋体" w:eastAsia="宋体" w:cs="宋体"/>
                <w:color w:val="auto"/>
                <w:sz w:val="21"/>
                <w:szCs w:val="21"/>
              </w:rPr>
            </w:pPr>
            <w:r>
              <w:rPr>
                <w:rFonts w:hint="eastAsia" w:ascii="宋体" w:hAnsi="宋体" w:eastAsia="宋体" w:cs="宋体"/>
                <w:color w:val="000000"/>
                <w:kern w:val="0"/>
                <w:sz w:val="21"/>
                <w:szCs w:val="21"/>
                <w:lang w:val="en-US" w:eastAsia="zh-CN" w:bidi="ar"/>
              </w:rPr>
              <w:t>固体废物污染环境防治责任制</w:t>
            </w:r>
          </w:p>
        </w:tc>
      </w:tr>
      <w:tr w14:paraId="22AAA2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pct"/>
            <w:noWrap w:val="0"/>
            <w:vAlign w:val="center"/>
          </w:tcPr>
          <w:p w14:paraId="38283BFC">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4268" w:type="pct"/>
            <w:noWrap w:val="0"/>
            <w:vAlign w:val="center"/>
          </w:tcPr>
          <w:p w14:paraId="77FC749D">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eastAsia" w:ascii="宋体" w:hAnsi="宋体" w:eastAsia="宋体" w:cs="宋体"/>
                <w:color w:val="auto"/>
                <w:sz w:val="21"/>
                <w:szCs w:val="21"/>
              </w:rPr>
            </w:pPr>
            <w:r>
              <w:rPr>
                <w:rFonts w:hint="eastAsia" w:ascii="宋体" w:hAnsi="宋体" w:eastAsia="宋体" w:cs="宋体"/>
                <w:color w:val="000000"/>
                <w:kern w:val="0"/>
                <w:sz w:val="21"/>
                <w:szCs w:val="21"/>
                <w:lang w:val="en-US" w:eastAsia="zh-CN" w:bidi="ar"/>
              </w:rPr>
              <w:t>环境安全隐患排查制度</w:t>
            </w:r>
          </w:p>
        </w:tc>
      </w:tr>
      <w:tr w14:paraId="66A40D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pct"/>
            <w:noWrap w:val="0"/>
            <w:vAlign w:val="center"/>
          </w:tcPr>
          <w:p w14:paraId="1014BDF3">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4268" w:type="pct"/>
            <w:noWrap w:val="0"/>
            <w:vAlign w:val="center"/>
          </w:tcPr>
          <w:p w14:paraId="71B6B2E0">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eastAsia" w:ascii="宋体" w:hAnsi="宋体" w:eastAsia="宋体" w:cs="宋体"/>
                <w:color w:val="auto"/>
                <w:sz w:val="21"/>
                <w:szCs w:val="21"/>
              </w:rPr>
            </w:pPr>
            <w:r>
              <w:rPr>
                <w:rFonts w:hint="eastAsia" w:ascii="宋体" w:hAnsi="宋体" w:eastAsia="宋体" w:cs="宋体"/>
                <w:color w:val="000000"/>
                <w:kern w:val="0"/>
                <w:sz w:val="21"/>
                <w:szCs w:val="21"/>
                <w:lang w:val="en-US" w:eastAsia="zh-CN" w:bidi="ar"/>
              </w:rPr>
              <w:t>环保管理制度</w:t>
            </w:r>
          </w:p>
        </w:tc>
      </w:tr>
      <w:tr w14:paraId="1A3576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pct"/>
            <w:noWrap w:val="0"/>
            <w:vAlign w:val="center"/>
          </w:tcPr>
          <w:p w14:paraId="66C4B206">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p>
        </w:tc>
        <w:tc>
          <w:tcPr>
            <w:tcW w:w="4268" w:type="pct"/>
            <w:noWrap w:val="0"/>
            <w:vAlign w:val="center"/>
          </w:tcPr>
          <w:p w14:paraId="0169B06B">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eastAsia" w:ascii="宋体" w:hAnsi="宋体" w:eastAsia="宋体" w:cs="宋体"/>
                <w:color w:val="auto"/>
                <w:sz w:val="21"/>
                <w:szCs w:val="21"/>
              </w:rPr>
            </w:pPr>
            <w:r>
              <w:rPr>
                <w:rFonts w:hint="eastAsia" w:ascii="宋体" w:hAnsi="宋体" w:eastAsia="宋体" w:cs="宋体"/>
                <w:color w:val="000000"/>
                <w:kern w:val="0"/>
                <w:sz w:val="21"/>
                <w:szCs w:val="21"/>
                <w:lang w:val="en-US" w:eastAsia="zh-CN" w:bidi="ar"/>
              </w:rPr>
              <w:t>危险废物管理办法</w:t>
            </w:r>
          </w:p>
        </w:tc>
      </w:tr>
      <w:tr w14:paraId="678404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pct"/>
            <w:noWrap w:val="0"/>
            <w:vAlign w:val="center"/>
          </w:tcPr>
          <w:p w14:paraId="382C6114">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w:t>
            </w:r>
          </w:p>
        </w:tc>
        <w:tc>
          <w:tcPr>
            <w:tcW w:w="4268" w:type="pct"/>
            <w:noWrap w:val="0"/>
            <w:vAlign w:val="center"/>
          </w:tcPr>
          <w:p w14:paraId="091655C3">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eastAsia" w:ascii="宋体" w:hAnsi="宋体" w:eastAsia="宋体" w:cs="宋体"/>
                <w:color w:val="auto"/>
                <w:sz w:val="21"/>
                <w:szCs w:val="21"/>
              </w:rPr>
            </w:pPr>
            <w:r>
              <w:rPr>
                <w:rFonts w:hint="eastAsia" w:ascii="宋体" w:hAnsi="宋体" w:eastAsia="宋体" w:cs="宋体"/>
                <w:color w:val="000000"/>
                <w:kern w:val="0"/>
                <w:sz w:val="21"/>
                <w:szCs w:val="21"/>
                <w:lang w:val="en-US" w:eastAsia="zh-CN" w:bidi="ar"/>
              </w:rPr>
              <w:t>危废转运制度</w:t>
            </w:r>
          </w:p>
        </w:tc>
      </w:tr>
      <w:tr w14:paraId="56CD6A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pct"/>
            <w:noWrap w:val="0"/>
            <w:vAlign w:val="center"/>
          </w:tcPr>
          <w:p w14:paraId="5D908167">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w:t>
            </w:r>
          </w:p>
        </w:tc>
        <w:tc>
          <w:tcPr>
            <w:tcW w:w="4268" w:type="pct"/>
            <w:noWrap w:val="0"/>
            <w:vAlign w:val="center"/>
          </w:tcPr>
          <w:p w14:paraId="0D7D031D">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eastAsia" w:ascii="宋体" w:hAnsi="宋体" w:eastAsia="宋体" w:cs="宋体"/>
                <w:color w:val="auto"/>
                <w:sz w:val="21"/>
                <w:szCs w:val="21"/>
              </w:rPr>
            </w:pPr>
            <w:r>
              <w:rPr>
                <w:rFonts w:hint="eastAsia" w:ascii="宋体" w:hAnsi="宋体" w:eastAsia="宋体" w:cs="宋体"/>
                <w:color w:val="000000"/>
                <w:kern w:val="0"/>
                <w:sz w:val="21"/>
                <w:szCs w:val="21"/>
                <w:lang w:val="en-US" w:eastAsia="zh-CN" w:bidi="ar"/>
              </w:rPr>
              <w:t>化验室管理制度</w:t>
            </w:r>
          </w:p>
        </w:tc>
      </w:tr>
      <w:tr w14:paraId="2ED035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pct"/>
            <w:noWrap w:val="0"/>
            <w:vAlign w:val="center"/>
          </w:tcPr>
          <w:p w14:paraId="56240E79">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w:t>
            </w:r>
          </w:p>
        </w:tc>
        <w:tc>
          <w:tcPr>
            <w:tcW w:w="4268" w:type="pct"/>
            <w:noWrap w:val="0"/>
            <w:vAlign w:val="center"/>
          </w:tcPr>
          <w:p w14:paraId="3493A23B">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eastAsia" w:ascii="宋体" w:hAnsi="宋体" w:eastAsia="宋体" w:cs="宋体"/>
                <w:color w:val="auto"/>
                <w:sz w:val="21"/>
                <w:szCs w:val="21"/>
              </w:rPr>
            </w:pPr>
            <w:r>
              <w:rPr>
                <w:rFonts w:hint="eastAsia" w:ascii="宋体" w:hAnsi="宋体" w:eastAsia="宋体" w:cs="宋体"/>
                <w:color w:val="000000"/>
                <w:kern w:val="0"/>
                <w:sz w:val="21"/>
                <w:szCs w:val="21"/>
                <w:lang w:val="en-US" w:eastAsia="zh-CN" w:bidi="ar"/>
              </w:rPr>
              <w:t>运行班管理制度</w:t>
            </w:r>
          </w:p>
        </w:tc>
      </w:tr>
      <w:tr w14:paraId="7AA52B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pct"/>
            <w:noWrap w:val="0"/>
            <w:vAlign w:val="center"/>
          </w:tcPr>
          <w:p w14:paraId="426A5104">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w:t>
            </w:r>
          </w:p>
        </w:tc>
        <w:tc>
          <w:tcPr>
            <w:tcW w:w="4268" w:type="pct"/>
            <w:noWrap w:val="0"/>
            <w:vAlign w:val="center"/>
          </w:tcPr>
          <w:p w14:paraId="1566F548">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eastAsia" w:ascii="宋体" w:hAnsi="宋体" w:eastAsia="宋体" w:cs="宋体"/>
                <w:color w:val="auto"/>
                <w:sz w:val="21"/>
                <w:szCs w:val="21"/>
              </w:rPr>
            </w:pPr>
            <w:r>
              <w:rPr>
                <w:rFonts w:hint="eastAsia" w:ascii="宋体" w:hAnsi="宋体" w:eastAsia="宋体" w:cs="宋体"/>
                <w:color w:val="000000"/>
                <w:kern w:val="0"/>
                <w:sz w:val="21"/>
                <w:szCs w:val="21"/>
                <w:lang w:val="en-US" w:eastAsia="zh-CN" w:bidi="ar"/>
              </w:rPr>
              <w:t>机修管理制度</w:t>
            </w:r>
          </w:p>
        </w:tc>
      </w:tr>
      <w:tr w14:paraId="6668FA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pct"/>
            <w:noWrap w:val="0"/>
            <w:vAlign w:val="center"/>
          </w:tcPr>
          <w:p w14:paraId="4E472D71">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w:t>
            </w:r>
          </w:p>
        </w:tc>
        <w:tc>
          <w:tcPr>
            <w:tcW w:w="4268" w:type="pct"/>
            <w:noWrap w:val="0"/>
            <w:vAlign w:val="center"/>
          </w:tcPr>
          <w:p w14:paraId="69B90094">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eastAsia" w:ascii="宋体" w:hAnsi="宋体" w:eastAsia="宋体" w:cs="宋体"/>
                <w:color w:val="auto"/>
                <w:sz w:val="21"/>
                <w:szCs w:val="21"/>
              </w:rPr>
            </w:pPr>
            <w:r>
              <w:rPr>
                <w:rFonts w:hint="eastAsia" w:ascii="宋体" w:hAnsi="宋体" w:eastAsia="宋体" w:cs="宋体"/>
                <w:color w:val="000000"/>
                <w:kern w:val="0"/>
                <w:sz w:val="21"/>
                <w:szCs w:val="21"/>
                <w:lang w:val="en-US" w:eastAsia="zh-CN" w:bidi="ar"/>
              </w:rPr>
              <w:t>环保目标管理制度</w:t>
            </w:r>
          </w:p>
        </w:tc>
      </w:tr>
      <w:tr w14:paraId="452CDF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pct"/>
            <w:noWrap w:val="0"/>
            <w:vAlign w:val="center"/>
          </w:tcPr>
          <w:p w14:paraId="735E843A">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4268" w:type="pct"/>
            <w:noWrap w:val="0"/>
            <w:vAlign w:val="center"/>
          </w:tcPr>
          <w:p w14:paraId="0DF0A243">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eastAsia" w:ascii="宋体" w:hAnsi="宋体" w:eastAsia="宋体" w:cs="宋体"/>
                <w:color w:val="auto"/>
                <w:sz w:val="21"/>
                <w:szCs w:val="21"/>
              </w:rPr>
            </w:pPr>
            <w:r>
              <w:rPr>
                <w:rFonts w:hint="eastAsia" w:ascii="宋体" w:hAnsi="宋体" w:eastAsia="宋体" w:cs="宋体"/>
                <w:color w:val="000000"/>
                <w:kern w:val="0"/>
                <w:sz w:val="21"/>
                <w:szCs w:val="21"/>
                <w:lang w:val="en-US" w:eastAsia="zh-CN" w:bidi="ar"/>
              </w:rPr>
              <w:t>和县经开区污水处理厂运营管理制度</w:t>
            </w:r>
          </w:p>
        </w:tc>
      </w:tr>
      <w:tr w14:paraId="5EAD14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pct"/>
            <w:noWrap w:val="0"/>
            <w:vAlign w:val="center"/>
          </w:tcPr>
          <w:p w14:paraId="1043DBDE">
            <w:pPr>
              <w:pStyle w:val="34"/>
              <w:keepNext w:val="0"/>
              <w:keepLines w:val="0"/>
              <w:pageBreakBefore w:val="0"/>
              <w:widowControl/>
              <w:kinsoku/>
              <w:wordWrap/>
              <w:overflowPunct/>
              <w:topLinePunct w:val="0"/>
              <w:autoSpaceDE/>
              <w:autoSpaceDN/>
              <w:bidi w:val="0"/>
              <w:adjustRightInd/>
              <w:snapToGrid w:val="0"/>
              <w:spacing w:before="0" w:after="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w:t>
            </w:r>
          </w:p>
        </w:tc>
        <w:tc>
          <w:tcPr>
            <w:tcW w:w="4268" w:type="pct"/>
            <w:noWrap w:val="0"/>
            <w:vAlign w:val="center"/>
          </w:tcPr>
          <w:p w14:paraId="172C5E5F">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eastAsia" w:ascii="宋体" w:hAnsi="宋体" w:eastAsia="宋体" w:cs="宋体"/>
                <w:color w:val="auto"/>
                <w:sz w:val="21"/>
                <w:szCs w:val="21"/>
              </w:rPr>
            </w:pPr>
            <w:r>
              <w:rPr>
                <w:rFonts w:hint="eastAsia" w:ascii="宋体" w:hAnsi="宋体" w:eastAsia="宋体" w:cs="宋体"/>
                <w:color w:val="000000"/>
                <w:kern w:val="0"/>
                <w:sz w:val="21"/>
                <w:szCs w:val="21"/>
                <w:lang w:val="en-US" w:eastAsia="zh-CN" w:bidi="ar"/>
              </w:rPr>
              <w:t>安全管理制度</w:t>
            </w:r>
          </w:p>
        </w:tc>
      </w:tr>
    </w:tbl>
    <w:p w14:paraId="79C830BF">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1"/>
        <w:rPr>
          <w:rFonts w:hint="eastAsia" w:ascii="宋体" w:hAnsi="宋体" w:eastAsia="宋体" w:cs="宋体"/>
          <w:b/>
          <w:bCs/>
          <w:color w:val="000000"/>
          <w:kern w:val="0"/>
          <w:sz w:val="28"/>
          <w:szCs w:val="28"/>
          <w:lang w:val="en-US" w:eastAsia="zh-CN" w:bidi="ar"/>
        </w:rPr>
      </w:pPr>
      <w:bookmarkStart w:id="78" w:name="_Toc16985"/>
      <w:r>
        <w:rPr>
          <w:rFonts w:hint="eastAsia" w:ascii="宋体" w:hAnsi="宋体" w:eastAsia="宋体" w:cs="宋体"/>
          <w:b/>
          <w:bCs/>
          <w:color w:val="000000"/>
          <w:kern w:val="0"/>
          <w:sz w:val="28"/>
          <w:szCs w:val="28"/>
          <w:lang w:val="en-US" w:eastAsia="zh-CN" w:bidi="ar"/>
        </w:rPr>
        <w:t>10.3  排污口设置</w:t>
      </w:r>
      <w:bookmarkEnd w:id="78"/>
      <w:r>
        <w:rPr>
          <w:rFonts w:hint="eastAsia" w:ascii="宋体" w:hAnsi="宋体" w:eastAsia="宋体" w:cs="宋体"/>
          <w:b/>
          <w:bCs/>
          <w:color w:val="000000"/>
          <w:kern w:val="0"/>
          <w:sz w:val="28"/>
          <w:szCs w:val="28"/>
          <w:lang w:val="en-US" w:eastAsia="zh-CN" w:bidi="ar"/>
        </w:rPr>
        <w:t xml:space="preserve"> </w:t>
      </w:r>
    </w:p>
    <w:p w14:paraId="180E45FE">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0"/>
          <w:lang w:val="en-US" w:eastAsia="zh-CN" w:bidi="ar-SA"/>
          <w14:textFill>
            <w14:solidFill>
              <w14:schemeClr w14:val="tx1"/>
            </w14:solidFill>
          </w14:textFill>
        </w:rPr>
      </w:pPr>
      <w:r>
        <w:rPr>
          <w:rFonts w:hint="eastAsia" w:ascii="宋体" w:hAnsi="宋体" w:eastAsia="宋体" w:cs="宋体"/>
          <w:color w:val="000000" w:themeColor="text1"/>
          <w:kern w:val="0"/>
          <w:sz w:val="24"/>
          <w:szCs w:val="20"/>
          <w:lang w:val="en-US" w:eastAsia="zh-CN" w:bidi="ar-SA"/>
          <w14:textFill>
            <w14:solidFill>
              <w14:schemeClr w14:val="tx1"/>
            </w14:solidFill>
          </w14:textFill>
        </w:rPr>
        <w:t>根据现场调查，污水处理厂设置1个污水总排放口（依托一期一阶段项目）、1个废气排放口（依托一期一阶段项目），排污口设置合理、排污去向合理、便于采集样品与监督管理。</w:t>
      </w:r>
    </w:p>
    <w:p w14:paraId="3AD6EAC0">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1"/>
        <w:rPr>
          <w:rFonts w:hint="eastAsia" w:ascii="宋体" w:hAnsi="宋体" w:eastAsia="宋体" w:cs="宋体"/>
          <w:b/>
          <w:bCs/>
          <w:color w:val="000000"/>
          <w:kern w:val="0"/>
          <w:sz w:val="28"/>
          <w:szCs w:val="28"/>
          <w:lang w:val="en-US" w:eastAsia="zh-CN" w:bidi="ar"/>
        </w:rPr>
      </w:pPr>
      <w:bookmarkStart w:id="79" w:name="_Toc22001"/>
      <w:r>
        <w:rPr>
          <w:rFonts w:hint="eastAsia" w:ascii="宋体" w:hAnsi="宋体" w:eastAsia="宋体" w:cs="宋体"/>
          <w:b/>
          <w:bCs/>
          <w:color w:val="000000"/>
          <w:kern w:val="0"/>
          <w:sz w:val="28"/>
          <w:szCs w:val="28"/>
          <w:lang w:val="en-US" w:eastAsia="zh-CN" w:bidi="ar"/>
        </w:rPr>
        <w:t>10.4  突发环境事件应急预案</w:t>
      </w:r>
      <w:bookmarkEnd w:id="79"/>
      <w:r>
        <w:rPr>
          <w:rFonts w:hint="eastAsia" w:ascii="宋体" w:hAnsi="宋体" w:eastAsia="宋体" w:cs="宋体"/>
          <w:b/>
          <w:bCs/>
          <w:color w:val="000000"/>
          <w:kern w:val="0"/>
          <w:sz w:val="28"/>
          <w:szCs w:val="28"/>
          <w:lang w:val="en-US" w:eastAsia="zh-CN" w:bidi="ar"/>
        </w:rPr>
        <w:t xml:space="preserve"> </w:t>
      </w:r>
    </w:p>
    <w:p w14:paraId="3E0353B3">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0"/>
          <w:lang w:val="en-US" w:eastAsia="zh-CN" w:bidi="ar-SA"/>
          <w14:textFill>
            <w14:solidFill>
              <w14:schemeClr w14:val="tx1"/>
            </w14:solidFill>
          </w14:textFill>
        </w:rPr>
      </w:pPr>
      <w:r>
        <w:rPr>
          <w:rFonts w:hint="eastAsia" w:ascii="宋体" w:hAnsi="宋体" w:eastAsia="宋体" w:cs="宋体"/>
          <w:color w:val="000000" w:themeColor="text1"/>
          <w:kern w:val="0"/>
          <w:sz w:val="24"/>
          <w:szCs w:val="20"/>
          <w:lang w:val="en-US" w:eastAsia="zh-CN" w:bidi="ar-SA"/>
          <w14:textFill>
            <w14:solidFill>
              <w14:schemeClr w14:val="tx1"/>
            </w14:solidFill>
          </w14:textFill>
        </w:rPr>
        <w:t>污水处理厂已编制环境应急预案，并按照要求进行了备案。</w:t>
      </w:r>
    </w:p>
    <w:p w14:paraId="3C799A11">
      <w:pPr>
        <w:rPr>
          <w:rFonts w:hint="default"/>
          <w:lang w:val="en-US" w:eastAsia="zh-CN"/>
        </w:rPr>
      </w:pPr>
      <w:r>
        <w:rPr>
          <w:rFonts w:hint="default"/>
          <w:lang w:val="en-US" w:eastAsia="zh-CN"/>
        </w:rPr>
        <w:br w:type="page"/>
      </w:r>
    </w:p>
    <w:p w14:paraId="69C2B202">
      <w:pPr>
        <w:pStyle w:val="9"/>
        <w:keepNext w:val="0"/>
        <w:keepLines w:val="0"/>
        <w:pageBreakBefore w:val="0"/>
        <w:widowControl w:val="0"/>
        <w:kinsoku/>
        <w:wordWrap/>
        <w:overflowPunct/>
        <w:topLinePunct w:val="0"/>
        <w:autoSpaceDE/>
        <w:autoSpaceDN/>
        <w:bidi w:val="0"/>
        <w:adjustRightInd/>
        <w:snapToGrid w:val="0"/>
        <w:spacing w:after="0" w:line="360" w:lineRule="auto"/>
        <w:ind w:left="0" w:leftChars="0" w:firstLine="0" w:firstLineChars="0"/>
        <w:jc w:val="both"/>
        <w:textAlignment w:val="auto"/>
        <w:outlineLvl w:val="0"/>
        <w:rPr>
          <w:rFonts w:hint="eastAsia" w:ascii="宋体" w:hAnsi="宋体" w:eastAsia="宋体" w:cs="宋体"/>
          <w:b/>
          <w:bCs/>
          <w:color w:val="000000"/>
          <w:kern w:val="0"/>
          <w:sz w:val="32"/>
          <w:szCs w:val="32"/>
          <w:lang w:val="en-US" w:eastAsia="zh-CN" w:bidi="ar"/>
        </w:rPr>
      </w:pPr>
      <w:bookmarkStart w:id="80" w:name="_Toc26483"/>
      <w:r>
        <w:rPr>
          <w:rFonts w:hint="eastAsia" w:ascii="宋体" w:hAnsi="宋体" w:eastAsia="宋体" w:cs="宋体"/>
          <w:b/>
          <w:bCs/>
          <w:color w:val="000000"/>
          <w:kern w:val="0"/>
          <w:sz w:val="32"/>
          <w:szCs w:val="32"/>
          <w:lang w:val="en-US" w:eastAsia="zh-CN" w:bidi="ar"/>
        </w:rPr>
        <w:t>11.  结论与建议</w:t>
      </w:r>
      <w:bookmarkEnd w:id="80"/>
    </w:p>
    <w:p w14:paraId="5412BF39">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1"/>
        <w:rPr>
          <w:rFonts w:hint="eastAsia" w:ascii="宋体" w:hAnsi="宋体" w:eastAsia="宋体" w:cs="宋体"/>
          <w:b/>
          <w:bCs/>
          <w:color w:val="000000"/>
          <w:kern w:val="0"/>
          <w:sz w:val="28"/>
          <w:szCs w:val="28"/>
          <w:lang w:val="en-US" w:eastAsia="zh-CN" w:bidi="ar"/>
        </w:rPr>
      </w:pPr>
      <w:bookmarkStart w:id="81" w:name="_Toc29564"/>
      <w:r>
        <w:rPr>
          <w:rFonts w:hint="eastAsia" w:ascii="宋体" w:hAnsi="宋体" w:eastAsia="宋体" w:cs="宋体"/>
          <w:b/>
          <w:bCs/>
          <w:color w:val="000000"/>
          <w:kern w:val="0"/>
          <w:sz w:val="28"/>
          <w:szCs w:val="28"/>
          <w:lang w:val="en-US" w:eastAsia="zh-CN" w:bidi="ar"/>
        </w:rPr>
        <w:t>11.1  验收结论</w:t>
      </w:r>
      <w:bookmarkEnd w:id="81"/>
    </w:p>
    <w:p w14:paraId="5B90321B">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rPr>
      </w:pPr>
      <w:r>
        <w:rPr>
          <w:rFonts w:hint="eastAsia" w:ascii="宋体" w:hAnsi="宋体" w:eastAsia="宋体" w:cs="宋体"/>
          <w:b/>
          <w:bCs/>
          <w:color w:val="000000"/>
          <w:kern w:val="0"/>
          <w:sz w:val="24"/>
          <w:szCs w:val="24"/>
          <w:lang w:val="en-US" w:eastAsia="zh-CN" w:bidi="ar"/>
        </w:rPr>
        <w:t>11.1.1  验收监测概述</w:t>
      </w:r>
    </w:p>
    <w:p w14:paraId="2BFFC09D">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kern w:val="0"/>
          <w:sz w:val="24"/>
          <w:szCs w:val="20"/>
          <w:lang w:val="en-US" w:eastAsia="zh-CN" w:bidi="ar-SA"/>
          <w14:textFill>
            <w14:solidFill>
              <w14:schemeClr w14:val="tx1"/>
            </w14:solidFill>
          </w14:textFill>
        </w:rPr>
      </w:pPr>
      <w:r>
        <w:rPr>
          <w:rFonts w:hint="eastAsia" w:ascii="宋体" w:hAnsi="宋体" w:eastAsia="宋体" w:cs="宋体"/>
          <w:color w:val="000000" w:themeColor="text1"/>
          <w:kern w:val="0"/>
          <w:sz w:val="24"/>
          <w:szCs w:val="20"/>
          <w:lang w:val="en-US" w:eastAsia="zh-CN" w:bidi="ar-SA"/>
          <w14:textFill>
            <w14:solidFill>
              <w14:schemeClr w14:val="tx1"/>
            </w14:solidFill>
          </w14:textFill>
        </w:rPr>
        <w:t>项目于2024年12月建成试运行，于2025年2月</w:t>
      </w:r>
      <w:r>
        <w:rPr>
          <w:rFonts w:hint="eastAsia" w:ascii="宋体" w:hAnsi="宋体" w:cs="宋体"/>
          <w:color w:val="000000" w:themeColor="text1"/>
          <w:kern w:val="0"/>
          <w:sz w:val="24"/>
          <w:szCs w:val="20"/>
          <w:lang w:val="en-US" w:eastAsia="zh-CN" w:bidi="ar-SA"/>
          <w14:textFill>
            <w14:solidFill>
              <w14:schemeClr w14:val="tx1"/>
            </w14:solidFill>
          </w14:textFill>
        </w:rPr>
        <w:t>13</w:t>
      </w:r>
      <w:r>
        <w:rPr>
          <w:rFonts w:hint="eastAsia" w:ascii="宋体" w:hAnsi="宋体" w:eastAsia="宋体" w:cs="宋体"/>
          <w:color w:val="000000" w:themeColor="text1"/>
          <w:kern w:val="0"/>
          <w:sz w:val="24"/>
          <w:szCs w:val="20"/>
          <w:lang w:val="en-US" w:eastAsia="zh-CN" w:bidi="ar-SA"/>
          <w14:textFill>
            <w14:solidFill>
              <w14:schemeClr w14:val="tx1"/>
            </w14:solidFill>
          </w14:textFill>
        </w:rPr>
        <w:t>日-</w:t>
      </w:r>
      <w:r>
        <w:rPr>
          <w:rFonts w:hint="eastAsia" w:ascii="宋体" w:hAnsi="宋体" w:cs="宋体"/>
          <w:color w:val="000000" w:themeColor="text1"/>
          <w:kern w:val="0"/>
          <w:sz w:val="24"/>
          <w:szCs w:val="20"/>
          <w:lang w:val="en-US" w:eastAsia="zh-CN" w:bidi="ar-SA"/>
          <w14:textFill>
            <w14:solidFill>
              <w14:schemeClr w14:val="tx1"/>
            </w14:solidFill>
          </w14:textFill>
        </w:rPr>
        <w:t>14</w:t>
      </w:r>
      <w:r>
        <w:rPr>
          <w:rFonts w:hint="eastAsia" w:ascii="宋体" w:hAnsi="宋体" w:eastAsia="宋体" w:cs="宋体"/>
          <w:color w:val="000000" w:themeColor="text1"/>
          <w:kern w:val="0"/>
          <w:sz w:val="24"/>
          <w:szCs w:val="20"/>
          <w:lang w:val="en-US" w:eastAsia="zh-CN" w:bidi="ar-SA"/>
          <w14:textFill>
            <w14:solidFill>
              <w14:schemeClr w14:val="tx1"/>
            </w14:solidFill>
          </w14:textFill>
        </w:rPr>
        <w:t>日，委托</w:t>
      </w:r>
      <w:r>
        <w:rPr>
          <w:rFonts w:hint="eastAsia" w:ascii="宋体" w:hAnsi="宋体" w:cs="宋体"/>
          <w:color w:val="000000" w:themeColor="text1"/>
          <w:kern w:val="0"/>
          <w:sz w:val="24"/>
          <w:szCs w:val="20"/>
          <w:lang w:val="en-US" w:eastAsia="zh-CN" w:bidi="ar-SA"/>
          <w14:textFill>
            <w14:solidFill>
              <w14:schemeClr w14:val="tx1"/>
            </w14:solidFill>
          </w14:textFill>
        </w:rPr>
        <w:t>安徽鑫程检测科技有限公司</w:t>
      </w:r>
      <w:r>
        <w:rPr>
          <w:rFonts w:hint="eastAsia" w:ascii="宋体" w:hAnsi="宋体" w:eastAsia="宋体" w:cs="宋体"/>
          <w:color w:val="000000" w:themeColor="text1"/>
          <w:kern w:val="0"/>
          <w:sz w:val="24"/>
          <w:szCs w:val="20"/>
          <w:lang w:val="en-US" w:eastAsia="zh-CN" w:bidi="ar-SA"/>
          <w14:textFill>
            <w14:solidFill>
              <w14:schemeClr w14:val="tx1"/>
            </w14:solidFill>
          </w14:textFill>
        </w:rPr>
        <w:t>对产生的废气、废水、噪声以及敏感点环境质量进行检测，检测期间生产负荷达到75%以上。</w:t>
      </w:r>
    </w:p>
    <w:p w14:paraId="587E4313">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11.1.2  废气</w:t>
      </w:r>
    </w:p>
    <w:p w14:paraId="253FF892">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本项目营运期废气主要为污水处理站产生的恶臭气体，恶臭气体主要污染因子是NH</w:t>
      </w:r>
      <w:r>
        <w:rPr>
          <w:rFonts w:hint="eastAsia" w:ascii="宋体" w:hAnsi="宋体" w:eastAsia="宋体" w:cs="宋体"/>
          <w:color w:val="000000"/>
          <w:kern w:val="0"/>
          <w:sz w:val="24"/>
          <w:szCs w:val="24"/>
          <w:vertAlign w:val="subscript"/>
          <w:lang w:val="en-US" w:eastAsia="zh-CN" w:bidi="ar"/>
        </w:rPr>
        <w:t>3</w:t>
      </w:r>
      <w:r>
        <w:rPr>
          <w:rFonts w:hint="eastAsia" w:ascii="宋体" w:hAnsi="宋体" w:eastAsia="宋体" w:cs="宋体"/>
          <w:color w:val="000000"/>
          <w:kern w:val="0"/>
          <w:sz w:val="24"/>
          <w:szCs w:val="24"/>
          <w:lang w:val="en-US" w:eastAsia="zh-CN" w:bidi="ar"/>
        </w:rPr>
        <w:t>、H</w:t>
      </w:r>
      <w:r>
        <w:rPr>
          <w:rFonts w:hint="eastAsia" w:ascii="宋体" w:hAnsi="宋体" w:eastAsia="宋体" w:cs="宋体"/>
          <w:color w:val="000000"/>
          <w:kern w:val="0"/>
          <w:sz w:val="24"/>
          <w:szCs w:val="24"/>
          <w:vertAlign w:val="subscript"/>
          <w:lang w:val="en-US" w:eastAsia="zh-CN" w:bidi="ar"/>
        </w:rPr>
        <w:t>2</w:t>
      </w:r>
      <w:r>
        <w:rPr>
          <w:rFonts w:hint="eastAsia" w:ascii="宋体" w:hAnsi="宋体" w:eastAsia="宋体" w:cs="宋体"/>
          <w:color w:val="000000"/>
          <w:kern w:val="0"/>
          <w:sz w:val="24"/>
          <w:szCs w:val="24"/>
          <w:lang w:val="en-US" w:eastAsia="zh-CN" w:bidi="ar"/>
        </w:rPr>
        <w:t>S、臭气浓度。验收监测结果表明：硫化氢最大排放速率为</w:t>
      </w:r>
      <w:r>
        <w:rPr>
          <w:rFonts w:hint="eastAsia" w:ascii="宋体" w:hAnsi="宋体" w:eastAsia="宋体" w:cs="宋体"/>
          <w:color w:val="000000" w:themeColor="text1"/>
          <w:kern w:val="0"/>
          <w:sz w:val="24"/>
          <w:szCs w:val="24"/>
          <w:lang w:val="en-US" w:eastAsia="zh-CN"/>
          <w14:textFill>
            <w14:solidFill>
              <w14:schemeClr w14:val="tx1"/>
            </w14:solidFill>
          </w14:textFill>
        </w:rPr>
        <w:t>0.178</w:t>
      </w:r>
      <w:r>
        <w:rPr>
          <w:rFonts w:hint="eastAsia" w:ascii="宋体" w:hAnsi="宋体" w:eastAsia="宋体" w:cs="宋体"/>
          <w:color w:val="000000"/>
          <w:kern w:val="0"/>
          <w:sz w:val="24"/>
          <w:szCs w:val="24"/>
          <w:lang w:val="en-US" w:eastAsia="zh-CN" w:bidi="ar"/>
        </w:rPr>
        <w:t>kg/h、氨最大排放速率为</w:t>
      </w:r>
      <w:r>
        <w:rPr>
          <w:rFonts w:hint="eastAsia" w:ascii="宋体" w:hAnsi="宋体" w:eastAsia="宋体" w:cs="宋体"/>
          <w:color w:val="000000" w:themeColor="text1"/>
          <w:kern w:val="2"/>
          <w:sz w:val="24"/>
          <w:szCs w:val="24"/>
          <w:lang w:val="en-US" w:eastAsia="zh-CN" w:bidi="ar-SA"/>
          <w14:textFill>
            <w14:solidFill>
              <w14:schemeClr w14:val="tx1"/>
            </w14:solidFill>
          </w14:textFill>
        </w:rPr>
        <w:t>4.10×10</w:t>
      </w:r>
      <w:r>
        <w:rPr>
          <w:rFonts w:hint="eastAsia" w:ascii="宋体" w:hAnsi="宋体" w:eastAsia="宋体" w:cs="宋体"/>
          <w:color w:val="000000" w:themeColor="text1"/>
          <w:kern w:val="2"/>
          <w:sz w:val="24"/>
          <w:szCs w:val="24"/>
          <w:vertAlign w:val="superscript"/>
          <w:lang w:val="en-US" w:eastAsia="zh-CN" w:bidi="ar-SA"/>
          <w14:textFill>
            <w14:solidFill>
              <w14:schemeClr w14:val="tx1"/>
            </w14:solidFill>
          </w14:textFill>
        </w:rPr>
        <w:t>-2</w:t>
      </w:r>
      <w:r>
        <w:rPr>
          <w:rFonts w:hint="eastAsia" w:ascii="宋体" w:hAnsi="宋体" w:eastAsia="宋体" w:cs="宋体"/>
          <w:color w:val="000000"/>
          <w:kern w:val="0"/>
          <w:sz w:val="24"/>
          <w:szCs w:val="24"/>
          <w:lang w:val="en-US" w:eastAsia="zh-CN" w:bidi="ar"/>
        </w:rPr>
        <w:t>kg/h，</w:t>
      </w:r>
      <w:r>
        <w:rPr>
          <w:rFonts w:hint="eastAsia" w:ascii="宋体" w:hAnsi="宋体" w:eastAsia="宋体" w:cs="宋体"/>
          <w:color w:val="000000" w:themeColor="text1"/>
          <w:kern w:val="0"/>
          <w:sz w:val="24"/>
          <w:szCs w:val="24"/>
          <w:lang w:val="en-US" w:eastAsia="zh-CN"/>
          <w14:textFill>
            <w14:solidFill>
              <w14:schemeClr w14:val="tx1"/>
            </w14:solidFill>
          </w14:textFill>
        </w:rPr>
        <w:t>臭气最大排放浓度为</w:t>
      </w:r>
      <w:r>
        <w:rPr>
          <w:rFonts w:hint="eastAsia" w:ascii="宋体" w:hAnsi="宋体" w:eastAsia="宋体" w:cs="宋体"/>
          <w:color w:val="000000" w:themeColor="text1"/>
          <w:kern w:val="2"/>
          <w:sz w:val="24"/>
          <w:szCs w:val="24"/>
          <w:lang w:val="en-US" w:eastAsia="zh-CN" w:bidi="ar-SA"/>
          <w14:textFill>
            <w14:solidFill>
              <w14:schemeClr w14:val="tx1"/>
            </w14:solidFill>
          </w14:textFill>
        </w:rPr>
        <w:t>550</w:t>
      </w:r>
      <w:r>
        <w:rPr>
          <w:rFonts w:hint="eastAsia"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spacing w:val="-16"/>
          <w:sz w:val="24"/>
          <w:szCs w:val="24"/>
          <w:lang w:val="en-US" w:eastAsia="zh-CN"/>
          <w14:textFill>
            <w14:solidFill>
              <w14:schemeClr w14:val="tx1"/>
            </w14:solidFill>
          </w14:textFill>
        </w:rPr>
        <w:t>无量纲</w:t>
      </w:r>
      <w:r>
        <w:rPr>
          <w:rFonts w:hint="eastAsia"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lang w:eastAsia="zh-CN"/>
          <w14:textFill>
            <w14:solidFill>
              <w14:schemeClr w14:val="tx1"/>
            </w14:solidFill>
          </w14:textFill>
        </w:rPr>
        <w:t>，</w:t>
      </w:r>
      <w:r>
        <w:rPr>
          <w:rFonts w:hint="eastAsia" w:ascii="宋体" w:hAnsi="宋体" w:eastAsia="宋体" w:cs="宋体"/>
          <w:color w:val="000000"/>
          <w:kern w:val="0"/>
          <w:sz w:val="24"/>
          <w:szCs w:val="24"/>
          <w:lang w:val="en-US" w:eastAsia="zh-CN" w:bidi="ar"/>
        </w:rPr>
        <w:t>监测结果满足《恶臭污染物排放标准》(GB14554-93)二级标准限值要求。</w:t>
      </w:r>
    </w:p>
    <w:p w14:paraId="2CB98EC2">
      <w:pPr>
        <w:keepNext w:val="0"/>
        <w:keepLines w:val="0"/>
        <w:pageBreakBefore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themeColor="text1"/>
          <w:sz w:val="24"/>
          <w:szCs w:val="24"/>
          <w:highlight w:val="none"/>
          <w:vertAlign w:val="baseline"/>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根据</w:t>
      </w:r>
      <w:r>
        <w:rPr>
          <w:rFonts w:hint="eastAsia" w:ascii="宋体" w:hAnsi="宋体" w:eastAsia="宋体" w:cs="宋体"/>
          <w:color w:val="000000" w:themeColor="text1"/>
          <w:sz w:val="24"/>
          <w:szCs w:val="24"/>
          <w14:textFill>
            <w14:solidFill>
              <w14:schemeClr w14:val="tx1"/>
            </w14:solidFill>
          </w14:textFill>
        </w:rPr>
        <w:t>无组织排放源监测结果表明，</w:t>
      </w:r>
      <w:r>
        <w:rPr>
          <w:rFonts w:hint="eastAsia" w:ascii="宋体" w:hAnsi="宋体" w:eastAsia="宋体" w:cs="宋体"/>
          <w:color w:val="000000" w:themeColor="text1"/>
          <w:sz w:val="24"/>
          <w:szCs w:val="28"/>
          <w14:textFill>
            <w14:solidFill>
              <w14:schemeClr w14:val="tx1"/>
            </w14:solidFill>
          </w14:textFill>
        </w:rPr>
        <w:t>上风向</w:t>
      </w:r>
      <w:r>
        <w:rPr>
          <w:rFonts w:hint="eastAsia" w:ascii="宋体" w:hAnsi="宋体" w:eastAsia="宋体" w:cs="宋体"/>
          <w:color w:val="000000" w:themeColor="text1"/>
          <w:sz w:val="24"/>
          <w:szCs w:val="28"/>
          <w:lang w:val="en-US" w:eastAsia="zh-CN"/>
          <w14:textFill>
            <w14:solidFill>
              <w14:schemeClr w14:val="tx1"/>
            </w14:solidFill>
          </w14:textFill>
        </w:rPr>
        <w:t>氨</w:t>
      </w:r>
      <w:r>
        <w:rPr>
          <w:rFonts w:hint="eastAsia" w:ascii="宋体" w:hAnsi="宋体" w:eastAsia="宋体" w:cs="宋体"/>
          <w:color w:val="000000" w:themeColor="text1"/>
          <w:sz w:val="24"/>
          <w:szCs w:val="24"/>
          <w:lang w:eastAsia="zh-CN"/>
          <w14:textFill>
            <w14:solidFill>
              <w14:schemeClr w14:val="tx1"/>
            </w14:solidFill>
          </w14:textFill>
        </w:rPr>
        <w:t>检测</w:t>
      </w:r>
      <w:r>
        <w:rPr>
          <w:rFonts w:hint="eastAsia" w:ascii="宋体" w:hAnsi="宋体" w:eastAsia="宋体" w:cs="宋体"/>
          <w:color w:val="000000" w:themeColor="text1"/>
          <w:sz w:val="24"/>
          <w:szCs w:val="24"/>
          <w14:textFill>
            <w14:solidFill>
              <w14:schemeClr w14:val="tx1"/>
            </w14:solidFill>
          </w14:textFill>
        </w:rPr>
        <w:t>浓度范围为</w:t>
      </w:r>
      <w:r>
        <w:rPr>
          <w:rFonts w:hint="eastAsia" w:ascii="宋体" w:hAnsi="宋体" w:eastAsia="宋体" w:cs="宋体"/>
          <w:color w:val="000000" w:themeColor="text1"/>
          <w:sz w:val="24"/>
          <w:szCs w:val="24"/>
          <w:lang w:val="en-US" w:eastAsia="zh-CN"/>
          <w14:textFill>
            <w14:solidFill>
              <w14:schemeClr w14:val="tx1"/>
            </w14:solidFill>
          </w14:textFill>
        </w:rPr>
        <w:t>0.28-0.31</w:t>
      </w:r>
      <w:r>
        <w:rPr>
          <w:rFonts w:hint="eastAsia" w:ascii="宋体" w:hAnsi="宋体" w:eastAsia="宋体" w:cs="宋体"/>
          <w:color w:val="000000" w:themeColor="text1"/>
          <w:sz w:val="24"/>
          <w:szCs w:val="24"/>
          <w:highlight w:val="none"/>
          <w:lang w:val="en-US" w:eastAsia="zh-CN"/>
          <w14:textFill>
            <w14:solidFill>
              <w14:schemeClr w14:val="tx1"/>
            </w14:solidFill>
          </w14:textFill>
        </w:rPr>
        <w:t>mg</w:t>
      </w:r>
      <w:r>
        <w:rPr>
          <w:rFonts w:hint="eastAsia" w:ascii="宋体" w:hAnsi="宋体" w:eastAsia="宋体" w:cs="宋体"/>
          <w:color w:val="000000" w:themeColor="text1"/>
          <w:sz w:val="24"/>
          <w:szCs w:val="24"/>
          <w:highlight w:val="none"/>
          <w14:textFill>
            <w14:solidFill>
              <w14:schemeClr w14:val="tx1"/>
            </w14:solidFill>
          </w14:textFill>
        </w:rPr>
        <w:t>/m</w:t>
      </w:r>
      <w:r>
        <w:rPr>
          <w:rFonts w:hint="eastAsia" w:ascii="宋体" w:hAnsi="宋体" w:eastAsia="宋体" w:cs="宋体"/>
          <w:color w:val="000000" w:themeColor="text1"/>
          <w:sz w:val="24"/>
          <w:szCs w:val="24"/>
          <w:highlight w:val="none"/>
          <w:vertAlign w:val="superscript"/>
          <w14:textFill>
            <w14:solidFill>
              <w14:schemeClr w14:val="tx1"/>
            </w14:solidFill>
          </w14:textFill>
        </w:rPr>
        <w:t>3</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硫化氢</w:t>
      </w:r>
      <w:r>
        <w:rPr>
          <w:rFonts w:hint="eastAsia" w:ascii="宋体" w:hAnsi="宋体" w:eastAsia="宋体" w:cs="宋体"/>
          <w:color w:val="000000" w:themeColor="text1"/>
          <w:sz w:val="24"/>
          <w:szCs w:val="24"/>
          <w:lang w:eastAsia="zh-CN"/>
          <w14:textFill>
            <w14:solidFill>
              <w14:schemeClr w14:val="tx1"/>
            </w14:solidFill>
          </w14:textFill>
        </w:rPr>
        <w:t>检测</w:t>
      </w:r>
      <w:r>
        <w:rPr>
          <w:rFonts w:hint="eastAsia" w:ascii="宋体" w:hAnsi="宋体" w:eastAsia="宋体" w:cs="宋体"/>
          <w:color w:val="000000" w:themeColor="text1"/>
          <w:sz w:val="24"/>
          <w:szCs w:val="24"/>
          <w14:textFill>
            <w14:solidFill>
              <w14:schemeClr w14:val="tx1"/>
            </w14:solidFill>
          </w14:textFill>
        </w:rPr>
        <w:t>浓度范围为</w:t>
      </w:r>
      <w:r>
        <w:rPr>
          <w:rFonts w:hint="eastAsia" w:ascii="宋体" w:hAnsi="宋体" w:eastAsia="宋体" w:cs="宋体"/>
          <w:color w:val="000000" w:themeColor="text1"/>
          <w:sz w:val="24"/>
          <w:szCs w:val="24"/>
          <w:lang w:val="en-US" w:eastAsia="zh-CN"/>
          <w14:textFill>
            <w14:solidFill>
              <w14:schemeClr w14:val="tx1"/>
            </w14:solidFill>
          </w14:textFill>
        </w:rPr>
        <w:t>0.002-0.005</w:t>
      </w:r>
      <w:r>
        <w:rPr>
          <w:rFonts w:hint="eastAsia" w:ascii="宋体" w:hAnsi="宋体" w:eastAsia="宋体" w:cs="宋体"/>
          <w:color w:val="000000" w:themeColor="text1"/>
          <w:sz w:val="24"/>
          <w:szCs w:val="24"/>
          <w14:textFill>
            <w14:solidFill>
              <w14:schemeClr w14:val="tx1"/>
            </w14:solidFill>
          </w14:textFill>
        </w:rPr>
        <w:t>mg/m</w:t>
      </w:r>
      <w:r>
        <w:rPr>
          <w:rFonts w:hint="eastAsia" w:ascii="宋体" w:hAnsi="宋体" w:eastAsia="宋体" w:cs="宋体"/>
          <w:color w:val="000000" w:themeColor="text1"/>
          <w:sz w:val="24"/>
          <w:szCs w:val="24"/>
          <w:vertAlign w:val="superscript"/>
          <w14:textFill>
            <w14:solidFill>
              <w14:schemeClr w14:val="tx1"/>
            </w14:solidFill>
          </w14:textFill>
        </w:rPr>
        <w:t>3</w:t>
      </w:r>
      <w:r>
        <w:rPr>
          <w:rFonts w:hint="eastAsia" w:ascii="宋体" w:hAnsi="宋体" w:eastAsia="宋体" w:cs="宋体"/>
          <w:color w:val="000000" w:themeColor="text1"/>
          <w:sz w:val="24"/>
          <w:szCs w:val="24"/>
          <w:highlight w:val="none"/>
          <w:vertAlign w:val="baseline"/>
          <w:lang w:eastAsia="zh-CN"/>
          <w14:textFill>
            <w14:solidFill>
              <w14:schemeClr w14:val="tx1"/>
            </w14:solidFill>
          </w14:textFill>
        </w:rPr>
        <w:t>；</w:t>
      </w:r>
      <w:r>
        <w:rPr>
          <w:rFonts w:hint="eastAsia" w:ascii="宋体" w:hAnsi="宋体" w:eastAsia="宋体" w:cs="宋体"/>
          <w:color w:val="000000" w:themeColor="text1"/>
          <w:sz w:val="24"/>
          <w:szCs w:val="24"/>
          <w:highlight w:val="none"/>
          <w:vertAlign w:val="baseline"/>
          <w:lang w:val="en-US" w:eastAsia="zh-CN"/>
          <w14:textFill>
            <w14:solidFill>
              <w14:schemeClr w14:val="tx1"/>
            </w14:solidFill>
          </w14:textFill>
        </w:rPr>
        <w:t>臭气</w:t>
      </w:r>
      <w:r>
        <w:rPr>
          <w:rFonts w:hint="eastAsia" w:ascii="宋体" w:hAnsi="宋体" w:eastAsia="宋体" w:cs="宋体"/>
          <w:color w:val="000000" w:themeColor="text1"/>
          <w:sz w:val="24"/>
          <w:szCs w:val="24"/>
          <w:lang w:eastAsia="zh-CN"/>
          <w14:textFill>
            <w14:solidFill>
              <w14:schemeClr w14:val="tx1"/>
            </w14:solidFill>
          </w14:textFill>
        </w:rPr>
        <w:t>检测</w:t>
      </w:r>
      <w:r>
        <w:rPr>
          <w:rFonts w:hint="eastAsia" w:ascii="宋体" w:hAnsi="宋体" w:eastAsia="宋体" w:cs="宋体"/>
          <w:color w:val="000000" w:themeColor="text1"/>
          <w:sz w:val="24"/>
          <w:szCs w:val="24"/>
          <w14:textFill>
            <w14:solidFill>
              <w14:schemeClr w14:val="tx1"/>
            </w14:solidFill>
          </w14:textFill>
        </w:rPr>
        <w:t>浓度</w:t>
      </w:r>
      <w:r>
        <w:rPr>
          <w:rFonts w:hint="eastAsia" w:ascii="宋体" w:hAnsi="宋体" w:eastAsia="宋体" w:cs="宋体"/>
          <w:color w:val="000000" w:themeColor="text1"/>
          <w:sz w:val="24"/>
          <w:szCs w:val="24"/>
          <w:lang w:val="en-US" w:eastAsia="zh-CN"/>
          <w14:textFill>
            <w14:solidFill>
              <w14:schemeClr w14:val="tx1"/>
            </w14:solidFill>
          </w14:textFill>
        </w:rPr>
        <w:t>低于检出限</w:t>
      </w:r>
      <w:r>
        <w:rPr>
          <w:rFonts w:hint="eastAsia" w:ascii="宋体" w:hAnsi="宋体" w:eastAsia="宋体" w:cs="宋体"/>
          <w:color w:val="000000" w:themeColor="text1"/>
          <w:sz w:val="24"/>
          <w:szCs w:val="24"/>
          <w:highlight w:val="none"/>
          <w:vertAlign w:val="baseline"/>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下风向</w:t>
      </w:r>
      <w:r>
        <w:rPr>
          <w:rFonts w:hint="eastAsia" w:ascii="宋体" w:hAnsi="宋体" w:eastAsia="宋体" w:cs="宋体"/>
          <w:color w:val="000000" w:themeColor="text1"/>
          <w:sz w:val="24"/>
          <w:szCs w:val="24"/>
          <w:lang w:val="en-US" w:eastAsia="zh-CN"/>
          <w14:textFill>
            <w14:solidFill>
              <w14:schemeClr w14:val="tx1"/>
            </w14:solidFill>
          </w14:textFill>
        </w:rPr>
        <w:t>监测</w:t>
      </w:r>
      <w:r>
        <w:rPr>
          <w:rFonts w:hint="eastAsia" w:ascii="宋体" w:hAnsi="宋体" w:eastAsia="宋体" w:cs="宋体"/>
          <w:color w:val="000000" w:themeColor="text1"/>
          <w:sz w:val="24"/>
          <w:szCs w:val="24"/>
          <w14:textFill>
            <w14:solidFill>
              <w14:schemeClr w14:val="tx1"/>
            </w14:solidFill>
          </w14:textFill>
        </w:rPr>
        <w:t>区</w:t>
      </w:r>
      <w:r>
        <w:rPr>
          <w:rFonts w:hint="eastAsia" w:ascii="宋体" w:hAnsi="宋体" w:eastAsia="宋体" w:cs="宋体"/>
          <w:color w:val="000000" w:themeColor="text1"/>
          <w:sz w:val="24"/>
          <w:szCs w:val="28"/>
          <w:lang w:val="en-US" w:eastAsia="zh-CN"/>
          <w14:textFill>
            <w14:solidFill>
              <w14:schemeClr w14:val="tx1"/>
            </w14:solidFill>
          </w14:textFill>
        </w:rPr>
        <w:t>氨</w:t>
      </w:r>
      <w:r>
        <w:rPr>
          <w:rFonts w:hint="eastAsia" w:ascii="宋体" w:hAnsi="宋体" w:eastAsia="宋体" w:cs="宋体"/>
          <w:color w:val="000000" w:themeColor="text1"/>
          <w:sz w:val="24"/>
          <w:szCs w:val="24"/>
          <w14:textFill>
            <w14:solidFill>
              <w14:schemeClr w14:val="tx1"/>
            </w14:solidFill>
          </w14:textFill>
        </w:rPr>
        <w:t>浓度范围为</w:t>
      </w:r>
      <w:r>
        <w:rPr>
          <w:rFonts w:hint="eastAsia" w:ascii="宋体" w:hAnsi="宋体" w:eastAsia="宋体" w:cs="宋体"/>
          <w:color w:val="000000" w:themeColor="text1"/>
          <w:sz w:val="24"/>
          <w:szCs w:val="24"/>
          <w:lang w:val="en-US" w:eastAsia="zh-CN"/>
          <w14:textFill>
            <w14:solidFill>
              <w14:schemeClr w14:val="tx1"/>
            </w14:solidFill>
          </w14:textFill>
        </w:rPr>
        <w:t>0.52-0.76</w:t>
      </w:r>
      <w:r>
        <w:rPr>
          <w:rFonts w:hint="eastAsia" w:ascii="宋体" w:hAnsi="宋体" w:eastAsia="宋体" w:cs="宋体"/>
          <w:color w:val="000000" w:themeColor="text1"/>
          <w:sz w:val="24"/>
          <w:szCs w:val="24"/>
          <w:highlight w:val="none"/>
          <w:lang w:val="en-US" w:eastAsia="zh-CN"/>
          <w14:textFill>
            <w14:solidFill>
              <w14:schemeClr w14:val="tx1"/>
            </w14:solidFill>
          </w14:textFill>
        </w:rPr>
        <w:t>mg</w:t>
      </w:r>
      <w:r>
        <w:rPr>
          <w:rFonts w:hint="eastAsia" w:ascii="宋体" w:hAnsi="宋体" w:eastAsia="宋体" w:cs="宋体"/>
          <w:color w:val="000000" w:themeColor="text1"/>
          <w:sz w:val="24"/>
          <w:szCs w:val="24"/>
          <w:highlight w:val="none"/>
          <w14:textFill>
            <w14:solidFill>
              <w14:schemeClr w14:val="tx1"/>
            </w14:solidFill>
          </w14:textFill>
        </w:rPr>
        <w:t>/m</w:t>
      </w:r>
      <w:r>
        <w:rPr>
          <w:rFonts w:hint="eastAsia" w:ascii="宋体" w:hAnsi="宋体" w:eastAsia="宋体" w:cs="宋体"/>
          <w:color w:val="000000" w:themeColor="text1"/>
          <w:sz w:val="24"/>
          <w:szCs w:val="24"/>
          <w:highlight w:val="none"/>
          <w:vertAlign w:val="superscript"/>
          <w14:textFill>
            <w14:solidFill>
              <w14:schemeClr w14:val="tx1"/>
            </w14:solidFill>
          </w14:textFill>
        </w:rPr>
        <w:t>3</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硫化氢</w:t>
      </w:r>
      <w:r>
        <w:rPr>
          <w:rFonts w:hint="eastAsia" w:ascii="宋体" w:hAnsi="宋体" w:eastAsia="宋体" w:cs="宋体"/>
          <w:color w:val="000000" w:themeColor="text1"/>
          <w:sz w:val="24"/>
          <w:szCs w:val="24"/>
          <w14:textFill>
            <w14:solidFill>
              <w14:schemeClr w14:val="tx1"/>
            </w14:solidFill>
          </w14:textFill>
        </w:rPr>
        <w:t>浓度范围为</w:t>
      </w:r>
      <w:r>
        <w:rPr>
          <w:rFonts w:hint="eastAsia" w:ascii="宋体" w:hAnsi="宋体" w:eastAsia="宋体" w:cs="宋体"/>
          <w:color w:val="000000" w:themeColor="text1"/>
          <w:sz w:val="24"/>
          <w:highlight w:val="none"/>
          <w:lang w:val="en-US" w:eastAsia="zh-CN"/>
          <w14:textFill>
            <w14:solidFill>
              <w14:schemeClr w14:val="tx1"/>
            </w14:solidFill>
          </w14:textFill>
        </w:rPr>
        <w:t>0.006</w:t>
      </w:r>
      <w:r>
        <w:rPr>
          <w:rFonts w:hint="eastAsia" w:ascii="宋体" w:hAnsi="宋体" w:eastAsia="宋体" w:cs="宋体"/>
          <w:color w:val="000000" w:themeColor="text1"/>
          <w:sz w:val="24"/>
          <w:szCs w:val="24"/>
          <w:lang w:val="en-US" w:eastAsia="zh-CN"/>
          <w14:textFill>
            <w14:solidFill>
              <w14:schemeClr w14:val="tx1"/>
            </w14:solidFill>
          </w14:textFill>
        </w:rPr>
        <w:t>-0.015</w:t>
      </w:r>
      <w:r>
        <w:rPr>
          <w:rFonts w:hint="eastAsia" w:ascii="宋体" w:hAnsi="宋体" w:eastAsia="宋体" w:cs="宋体"/>
          <w:color w:val="000000" w:themeColor="text1"/>
          <w:sz w:val="24"/>
          <w:szCs w:val="24"/>
          <w14:textFill>
            <w14:solidFill>
              <w14:schemeClr w14:val="tx1"/>
            </w14:solidFill>
          </w14:textFill>
        </w:rPr>
        <w:t>mg/m</w:t>
      </w:r>
      <w:r>
        <w:rPr>
          <w:rFonts w:hint="eastAsia" w:ascii="宋体" w:hAnsi="宋体" w:eastAsia="宋体" w:cs="宋体"/>
          <w:color w:val="000000" w:themeColor="text1"/>
          <w:sz w:val="24"/>
          <w:szCs w:val="24"/>
          <w:vertAlign w:val="superscript"/>
          <w14:textFill>
            <w14:solidFill>
              <w14:schemeClr w14:val="tx1"/>
            </w14:solidFill>
          </w14:textFill>
        </w:rPr>
        <w:t>3</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highlight w:val="none"/>
          <w:vertAlign w:val="baseline"/>
          <w:lang w:val="en-US" w:eastAsia="zh-CN"/>
          <w14:textFill>
            <w14:solidFill>
              <w14:schemeClr w14:val="tx1"/>
            </w14:solidFill>
          </w14:textFill>
        </w:rPr>
        <w:t>臭气</w:t>
      </w:r>
      <w:r>
        <w:rPr>
          <w:rFonts w:hint="eastAsia" w:ascii="宋体" w:hAnsi="宋体" w:eastAsia="宋体" w:cs="宋体"/>
          <w:color w:val="000000" w:themeColor="text1"/>
          <w:sz w:val="24"/>
          <w:szCs w:val="24"/>
          <w:lang w:eastAsia="zh-CN"/>
          <w14:textFill>
            <w14:solidFill>
              <w14:schemeClr w14:val="tx1"/>
            </w14:solidFill>
          </w14:textFill>
        </w:rPr>
        <w:t>检测</w:t>
      </w:r>
      <w:r>
        <w:rPr>
          <w:rFonts w:hint="eastAsia" w:ascii="宋体" w:hAnsi="宋体" w:eastAsia="宋体" w:cs="宋体"/>
          <w:color w:val="000000" w:themeColor="text1"/>
          <w:sz w:val="24"/>
          <w:szCs w:val="24"/>
          <w14:textFill>
            <w14:solidFill>
              <w14:schemeClr w14:val="tx1"/>
            </w14:solidFill>
          </w14:textFill>
        </w:rPr>
        <w:t>浓度</w:t>
      </w:r>
      <w:r>
        <w:rPr>
          <w:rFonts w:hint="eastAsia" w:ascii="宋体" w:hAnsi="宋体" w:eastAsia="宋体" w:cs="宋体"/>
          <w:color w:val="000000" w:themeColor="text1"/>
          <w:sz w:val="24"/>
          <w:szCs w:val="24"/>
          <w:lang w:val="en-US" w:eastAsia="zh-CN"/>
          <w14:textFill>
            <w14:solidFill>
              <w14:schemeClr w14:val="tx1"/>
            </w14:solidFill>
          </w14:textFill>
        </w:rPr>
        <w:t>低于检出限</w:t>
      </w:r>
      <w:r>
        <w:rPr>
          <w:rFonts w:hint="eastAsia" w:ascii="宋体" w:hAnsi="宋体" w:eastAsia="宋体" w:cs="宋体"/>
          <w:color w:val="000000" w:themeColor="text1"/>
          <w:sz w:val="24"/>
          <w:szCs w:val="24"/>
          <w:highlight w:val="none"/>
          <w:vertAlign w:val="baseline"/>
          <w:lang w:eastAsia="zh-CN"/>
          <w14:textFill>
            <w14:solidFill>
              <w14:schemeClr w14:val="tx1"/>
            </w14:solidFill>
          </w14:textFill>
        </w:rPr>
        <w:t>；</w:t>
      </w:r>
      <w:r>
        <w:rPr>
          <w:rFonts w:hint="eastAsia" w:ascii="宋体" w:hAnsi="宋体" w:eastAsia="宋体" w:cs="宋体"/>
          <w:color w:val="000000" w:themeColor="text1"/>
          <w:kern w:val="0"/>
          <w:sz w:val="24"/>
          <w:szCs w:val="20"/>
          <w:lang w:val="en-US" w:eastAsia="zh-CN" w:bidi="ar-SA"/>
          <w14:textFill>
            <w14:solidFill>
              <w14:schemeClr w14:val="tx1"/>
            </w14:solidFill>
          </w14:textFill>
        </w:rPr>
        <w:t>敏感点安王村、太阳泵站氨最大检测浓度为0.75</w:t>
      </w:r>
      <w:r>
        <w:rPr>
          <w:rFonts w:hint="eastAsia" w:ascii="宋体" w:hAnsi="宋体" w:eastAsia="宋体" w:cs="宋体"/>
          <w:color w:val="000000" w:themeColor="text1"/>
          <w:sz w:val="24"/>
          <w:szCs w:val="24"/>
          <w:highlight w:val="none"/>
          <w:lang w:val="en-US" w:eastAsia="zh-CN"/>
          <w14:textFill>
            <w14:solidFill>
              <w14:schemeClr w14:val="tx1"/>
            </w14:solidFill>
          </w14:textFill>
        </w:rPr>
        <w:t>mg</w:t>
      </w:r>
      <w:r>
        <w:rPr>
          <w:rFonts w:hint="eastAsia" w:ascii="宋体" w:hAnsi="宋体" w:eastAsia="宋体" w:cs="宋体"/>
          <w:color w:val="000000" w:themeColor="text1"/>
          <w:sz w:val="24"/>
          <w:szCs w:val="24"/>
          <w:highlight w:val="none"/>
          <w14:textFill>
            <w14:solidFill>
              <w14:schemeClr w14:val="tx1"/>
            </w14:solidFill>
          </w14:textFill>
        </w:rPr>
        <w:t>/m</w:t>
      </w:r>
      <w:r>
        <w:rPr>
          <w:rFonts w:hint="eastAsia" w:ascii="宋体" w:hAnsi="宋体" w:eastAsia="宋体" w:cs="宋体"/>
          <w:color w:val="000000" w:themeColor="text1"/>
          <w:sz w:val="24"/>
          <w:szCs w:val="24"/>
          <w:highlight w:val="none"/>
          <w:vertAlign w:val="superscript"/>
          <w14:textFill>
            <w14:solidFill>
              <w14:schemeClr w14:val="tx1"/>
            </w14:solidFill>
          </w14:textFill>
        </w:rPr>
        <w:t>3</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硫化氢</w:t>
      </w:r>
      <w:r>
        <w:rPr>
          <w:rFonts w:hint="eastAsia" w:ascii="宋体" w:hAnsi="宋体" w:eastAsia="宋体" w:cs="宋体"/>
          <w:color w:val="000000" w:themeColor="text1"/>
          <w:kern w:val="0"/>
          <w:sz w:val="24"/>
          <w:szCs w:val="20"/>
          <w:lang w:val="en-US" w:eastAsia="zh-CN" w:bidi="ar-SA"/>
          <w14:textFill>
            <w14:solidFill>
              <w14:schemeClr w14:val="tx1"/>
            </w14:solidFill>
          </w14:textFill>
        </w:rPr>
        <w:t>最大检测浓度为0.005</w:t>
      </w:r>
      <w:r>
        <w:rPr>
          <w:rFonts w:hint="eastAsia" w:ascii="宋体" w:hAnsi="宋体" w:eastAsia="宋体" w:cs="宋体"/>
          <w:color w:val="000000" w:themeColor="text1"/>
          <w:sz w:val="24"/>
          <w:szCs w:val="24"/>
          <w:highlight w:val="none"/>
          <w:lang w:val="en-US" w:eastAsia="zh-CN"/>
          <w14:textFill>
            <w14:solidFill>
              <w14:schemeClr w14:val="tx1"/>
            </w14:solidFill>
          </w14:textFill>
        </w:rPr>
        <w:t>mg</w:t>
      </w:r>
      <w:r>
        <w:rPr>
          <w:rFonts w:hint="eastAsia" w:ascii="宋体" w:hAnsi="宋体" w:eastAsia="宋体" w:cs="宋体"/>
          <w:color w:val="000000" w:themeColor="text1"/>
          <w:sz w:val="24"/>
          <w:szCs w:val="24"/>
          <w:highlight w:val="none"/>
          <w14:textFill>
            <w14:solidFill>
              <w14:schemeClr w14:val="tx1"/>
            </w14:solidFill>
          </w14:textFill>
        </w:rPr>
        <w:t>/m</w:t>
      </w:r>
      <w:r>
        <w:rPr>
          <w:rFonts w:hint="eastAsia" w:ascii="宋体" w:hAnsi="宋体" w:eastAsia="宋体" w:cs="宋体"/>
          <w:color w:val="000000" w:themeColor="text1"/>
          <w:sz w:val="24"/>
          <w:szCs w:val="24"/>
          <w:highlight w:val="none"/>
          <w:vertAlign w:val="superscript"/>
          <w14:textFill>
            <w14:solidFill>
              <w14:schemeClr w14:val="tx1"/>
            </w14:solidFill>
          </w14:textFill>
        </w:rPr>
        <w:t>3</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highlight w:val="none"/>
          <w:vertAlign w:val="baseline"/>
          <w:lang w:val="en-US" w:eastAsia="zh-CN"/>
          <w14:textFill>
            <w14:solidFill>
              <w14:schemeClr w14:val="tx1"/>
            </w14:solidFill>
          </w14:textFill>
        </w:rPr>
        <w:t>臭气</w:t>
      </w:r>
      <w:r>
        <w:rPr>
          <w:rFonts w:hint="eastAsia" w:ascii="宋体" w:hAnsi="宋体" w:eastAsia="宋体" w:cs="宋体"/>
          <w:color w:val="000000" w:themeColor="text1"/>
          <w:sz w:val="24"/>
          <w:szCs w:val="24"/>
          <w:lang w:eastAsia="zh-CN"/>
          <w14:textFill>
            <w14:solidFill>
              <w14:schemeClr w14:val="tx1"/>
            </w14:solidFill>
          </w14:textFill>
        </w:rPr>
        <w:t>检测</w:t>
      </w:r>
      <w:r>
        <w:rPr>
          <w:rFonts w:hint="eastAsia" w:ascii="宋体" w:hAnsi="宋体" w:eastAsia="宋体" w:cs="宋体"/>
          <w:color w:val="000000" w:themeColor="text1"/>
          <w:sz w:val="24"/>
          <w:szCs w:val="24"/>
          <w14:textFill>
            <w14:solidFill>
              <w14:schemeClr w14:val="tx1"/>
            </w14:solidFill>
          </w14:textFill>
        </w:rPr>
        <w:t>浓度</w:t>
      </w:r>
      <w:r>
        <w:rPr>
          <w:rFonts w:hint="eastAsia" w:ascii="宋体" w:hAnsi="宋体" w:eastAsia="宋体" w:cs="宋体"/>
          <w:color w:val="000000" w:themeColor="text1"/>
          <w:sz w:val="24"/>
          <w:szCs w:val="24"/>
          <w:lang w:val="en-US" w:eastAsia="zh-CN"/>
          <w14:textFill>
            <w14:solidFill>
              <w14:schemeClr w14:val="tx1"/>
            </w14:solidFill>
          </w14:textFill>
        </w:rPr>
        <w:t>低于检出限。</w:t>
      </w:r>
    </w:p>
    <w:p w14:paraId="18436172">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themeColor="text1"/>
          <w:sz w:val="24"/>
          <w:szCs w:val="24"/>
          <w14:textFill>
            <w14:solidFill>
              <w14:schemeClr w14:val="tx1"/>
            </w14:solidFill>
          </w14:textFill>
        </w:rPr>
        <w:t>根据无组织排放源监测结果可知，</w:t>
      </w:r>
      <w:r>
        <w:rPr>
          <w:rFonts w:hint="eastAsia" w:ascii="宋体" w:hAnsi="宋体" w:eastAsia="宋体" w:cs="宋体"/>
          <w:color w:val="000000" w:themeColor="text1"/>
          <w:sz w:val="24"/>
          <w:szCs w:val="24"/>
          <w:lang w:val="en-US" w:eastAsia="zh-CN"/>
          <w14:textFill>
            <w14:solidFill>
              <w14:schemeClr w14:val="tx1"/>
            </w14:solidFill>
          </w14:textFill>
        </w:rPr>
        <w:t>厂界氨、硫化氢、臭气</w:t>
      </w:r>
      <w:r>
        <w:rPr>
          <w:rFonts w:hint="eastAsia" w:ascii="宋体" w:hAnsi="宋体" w:eastAsia="宋体" w:cs="宋体"/>
          <w:color w:val="000000" w:themeColor="text1"/>
          <w:sz w:val="24"/>
          <w:szCs w:val="24"/>
          <w14:textFill>
            <w14:solidFill>
              <w14:schemeClr w14:val="tx1"/>
            </w14:solidFill>
          </w14:textFill>
        </w:rPr>
        <w:t>无组织排放满足</w:t>
      </w:r>
      <w:r>
        <w:rPr>
          <w:rFonts w:hint="eastAsia" w:ascii="宋体" w:hAnsi="宋体" w:eastAsia="宋体" w:cs="宋体"/>
          <w:color w:val="000000" w:themeColor="text1"/>
          <w:kern w:val="0"/>
          <w:sz w:val="24"/>
          <w:szCs w:val="20"/>
          <w:lang w:val="en-US" w:eastAsia="zh-CN" w:bidi="ar-SA"/>
          <w14:textFill>
            <w14:solidFill>
              <w14:schemeClr w14:val="tx1"/>
            </w14:solidFill>
          </w14:textFill>
        </w:rPr>
        <w:t>《城镇污水处理厂污染物排放标准》（GB18918—2002）二级标准中废气无组织排放浓度限值要求；敏感点安王村、姜庄</w:t>
      </w:r>
      <w:r>
        <w:rPr>
          <w:rFonts w:hint="eastAsia" w:ascii="宋体" w:hAnsi="宋体" w:eastAsia="宋体" w:cs="宋体"/>
          <w:color w:val="000000" w:themeColor="text1"/>
          <w:sz w:val="24"/>
          <w:szCs w:val="24"/>
          <w:lang w:val="en-US" w:eastAsia="zh-CN"/>
          <w14:textFill>
            <w14:solidFill>
              <w14:schemeClr w14:val="tx1"/>
            </w14:solidFill>
          </w14:textFill>
        </w:rPr>
        <w:t>氨、硫化氢、臭气</w:t>
      </w:r>
      <w:r>
        <w:rPr>
          <w:rFonts w:hint="eastAsia" w:ascii="宋体" w:hAnsi="宋体" w:eastAsia="宋体" w:cs="宋体"/>
          <w:color w:val="000000" w:themeColor="text1"/>
          <w:kern w:val="0"/>
          <w:sz w:val="24"/>
          <w:szCs w:val="20"/>
          <w:lang w:val="en-US" w:eastAsia="zh-CN" w:bidi="ar-SA"/>
          <w14:textFill>
            <w14:solidFill>
              <w14:schemeClr w14:val="tx1"/>
            </w14:solidFill>
          </w14:textFill>
        </w:rPr>
        <w:t>达到《环境影响评价技术导则 大气环境》（HJ 2.2-2018）中附录D中标准限值要求</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达标率为100%</w:t>
      </w:r>
      <w:r>
        <w:rPr>
          <w:rFonts w:hint="eastAsia" w:ascii="宋体" w:hAnsi="宋体" w:cs="宋体"/>
          <w:color w:val="000000" w:themeColor="text1"/>
          <w:sz w:val="24"/>
          <w:szCs w:val="24"/>
          <w:lang w:eastAsia="zh-CN"/>
          <w14:textFill>
            <w14:solidFill>
              <w14:schemeClr w14:val="tx1"/>
            </w14:solidFill>
          </w14:textFill>
        </w:rPr>
        <w:t>。</w:t>
      </w:r>
    </w:p>
    <w:p w14:paraId="6A791CE0">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11.1.3  废水</w:t>
      </w:r>
    </w:p>
    <w:p w14:paraId="63D5AF38">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本项目处理的废水为收纳范围的生产废水，验收监测结果表明：项目废水经污水系统处理后，其pH、COD、BOD</w:t>
      </w:r>
      <w:r>
        <w:rPr>
          <w:rFonts w:hint="eastAsia" w:ascii="宋体" w:hAnsi="宋体" w:eastAsia="宋体" w:cs="宋体"/>
          <w:color w:val="000000"/>
          <w:kern w:val="0"/>
          <w:sz w:val="24"/>
          <w:szCs w:val="24"/>
          <w:vertAlign w:val="subscript"/>
          <w:lang w:val="en-US" w:eastAsia="zh-CN" w:bidi="ar"/>
        </w:rPr>
        <w:t>5</w:t>
      </w:r>
      <w:r>
        <w:rPr>
          <w:rFonts w:hint="eastAsia" w:ascii="宋体" w:hAnsi="宋体" w:eastAsia="宋体" w:cs="宋体"/>
          <w:color w:val="000000"/>
          <w:kern w:val="0"/>
          <w:sz w:val="24"/>
          <w:szCs w:val="24"/>
          <w:lang w:val="en-US" w:eastAsia="zh-CN" w:bidi="ar"/>
        </w:rPr>
        <w:t>、SS、NH3-N、粪大肠菌群数、动植物油、石油类、总磷、总氮</w:t>
      </w:r>
      <w:r>
        <w:rPr>
          <w:rFonts w:hint="eastAsia" w:ascii="宋体" w:hAnsi="宋体" w:cs="宋体"/>
          <w:color w:val="000000"/>
          <w:kern w:val="0"/>
          <w:sz w:val="24"/>
          <w:szCs w:val="24"/>
          <w:lang w:val="en-US" w:eastAsia="zh-CN" w:bidi="ar"/>
        </w:rPr>
        <w:t>、氟化物</w:t>
      </w:r>
      <w:r>
        <w:rPr>
          <w:rFonts w:hint="eastAsia" w:ascii="宋体" w:hAnsi="宋体" w:eastAsia="宋体" w:cs="宋体"/>
          <w:color w:val="000000"/>
          <w:kern w:val="0"/>
          <w:sz w:val="24"/>
          <w:szCs w:val="24"/>
          <w:lang w:val="en-US" w:eastAsia="zh-CN" w:bidi="ar"/>
        </w:rPr>
        <w:t>排放浓度日均值均满足《城镇污水处理厂污染物排放标准》（GB18918-2002）一级标准中的A标准限值要求。</w:t>
      </w:r>
    </w:p>
    <w:p w14:paraId="42B13083">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11.1.4  地下水</w:t>
      </w:r>
    </w:p>
    <w:p w14:paraId="5019A045">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2025年2月</w:t>
      </w:r>
      <w:r>
        <w:rPr>
          <w:rFonts w:hint="eastAsia" w:ascii="宋体" w:hAnsi="宋体" w:cs="宋体"/>
          <w:color w:val="000000"/>
          <w:kern w:val="0"/>
          <w:sz w:val="24"/>
          <w:szCs w:val="24"/>
          <w:lang w:val="en-US" w:eastAsia="zh-CN" w:bidi="ar"/>
        </w:rPr>
        <w:t>12</w:t>
      </w:r>
      <w:r>
        <w:rPr>
          <w:rFonts w:hint="eastAsia" w:ascii="宋体" w:hAnsi="宋体" w:eastAsia="宋体" w:cs="宋体"/>
          <w:color w:val="000000"/>
          <w:kern w:val="0"/>
          <w:sz w:val="24"/>
          <w:szCs w:val="24"/>
          <w:lang w:val="en-US" w:eastAsia="zh-CN" w:bidi="ar"/>
        </w:rPr>
        <w:t>日、</w:t>
      </w:r>
      <w:r>
        <w:rPr>
          <w:rFonts w:hint="eastAsia" w:ascii="宋体" w:hAnsi="宋体" w:cs="宋体"/>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月</w:t>
      </w:r>
      <w:r>
        <w:rPr>
          <w:rFonts w:hint="eastAsia" w:ascii="宋体" w:hAnsi="宋体" w:cs="宋体"/>
          <w:color w:val="000000"/>
          <w:kern w:val="0"/>
          <w:sz w:val="24"/>
          <w:szCs w:val="24"/>
          <w:lang w:val="en-US" w:eastAsia="zh-CN" w:bidi="ar"/>
        </w:rPr>
        <w:t>13</w:t>
      </w:r>
      <w:r>
        <w:rPr>
          <w:rFonts w:hint="eastAsia" w:ascii="宋体" w:hAnsi="宋体" w:eastAsia="宋体" w:cs="宋体"/>
          <w:color w:val="000000"/>
          <w:kern w:val="0"/>
          <w:sz w:val="24"/>
          <w:szCs w:val="24"/>
          <w:lang w:val="en-US" w:eastAsia="zh-CN" w:bidi="ar"/>
        </w:rPr>
        <w:t>日对地下水的氯化物、硫酸盐、溶解性总固体</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总硬度、氨氮、硝酸盐氮、高锰酸盐指数、菌落总数等指标进行了监测，监测结果显示地下水的各监测指标达到《地下水质量标准》（GB/T14848-2017）</w:t>
      </w:r>
      <w:r>
        <w:rPr>
          <w:rFonts w:hint="eastAsia" w:ascii="宋体" w:hAnsi="宋体" w:cs="宋体"/>
          <w:color w:val="000000"/>
          <w:kern w:val="0"/>
          <w:sz w:val="24"/>
          <w:szCs w:val="24"/>
          <w:lang w:val="en-US" w:eastAsia="zh-CN" w:bidi="ar"/>
        </w:rPr>
        <w:t>Ⅲ</w:t>
      </w:r>
      <w:r>
        <w:rPr>
          <w:rFonts w:hint="eastAsia" w:ascii="宋体" w:hAnsi="宋体" w:eastAsia="宋体" w:cs="宋体"/>
          <w:color w:val="000000"/>
          <w:kern w:val="0"/>
          <w:sz w:val="24"/>
          <w:szCs w:val="24"/>
          <w:lang w:val="en-US" w:eastAsia="zh-CN" w:bidi="ar"/>
        </w:rPr>
        <w:t>类标准限值要求。</w:t>
      </w:r>
    </w:p>
    <w:p w14:paraId="5D3C9B89">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11.1.5  噪声</w:t>
      </w:r>
    </w:p>
    <w:p w14:paraId="5CFDE313">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项目营运期噪声主要为风机、水泵等设备噪声。采取减振、消音等措施，经监测，污水处理厂昼、夜间厂界噪声均满足《工业企业厂界环境噪声排放标准》（GB12348-2008）中3类标准限值要求，敏感点安王村昼、夜间噪声满足《声环境质量标准》（GB3096-2008）中2类区标准要求。</w:t>
      </w:r>
    </w:p>
    <w:p w14:paraId="5C0C3BB2">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11.1.6  固体废物</w:t>
      </w:r>
    </w:p>
    <w:p w14:paraId="149CBEAA">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新增员工生活垃圾由环卫部门统一回收处理。</w:t>
      </w:r>
    </w:p>
    <w:p w14:paraId="2F28152C">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项目产生的固体废物主要是格栅渣、沉砂、污泥及废润滑油。项目格栅渣及沉砂为一般工业固体废物，统一外运至和县生活垃圾卫生填埋场填埋；污泥为一般固废委托和县第一污水处理厂处理干化。废润滑油委托有资质单位处理处置。</w:t>
      </w:r>
    </w:p>
    <w:p w14:paraId="7297045F">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 xml:space="preserve">11.1.7  环境管理评价 </w:t>
      </w:r>
    </w:p>
    <w:p w14:paraId="031A773E">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污水处理厂已经构建了运行管理机构，人员基本落实到位，环保管理制度基本建立，许可证已申报、应急预案已编制</w:t>
      </w:r>
    </w:p>
    <w:p w14:paraId="46E55357">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 xml:space="preserve">11.1.8  排污总量 </w:t>
      </w:r>
    </w:p>
    <w:p w14:paraId="668F362D">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经检测计算一期</w:t>
      </w:r>
      <w:r>
        <w:rPr>
          <w:rFonts w:hint="eastAsia" w:ascii="宋体" w:hAnsi="宋体" w:cs="宋体"/>
          <w:color w:val="000000"/>
          <w:kern w:val="0"/>
          <w:sz w:val="24"/>
          <w:szCs w:val="24"/>
          <w:lang w:val="en-US" w:eastAsia="zh-CN" w:bidi="ar"/>
        </w:rPr>
        <w:t>二</w:t>
      </w:r>
      <w:r>
        <w:rPr>
          <w:rFonts w:hint="eastAsia" w:ascii="宋体" w:hAnsi="宋体" w:eastAsia="宋体" w:cs="宋体"/>
          <w:color w:val="000000"/>
          <w:kern w:val="0"/>
          <w:sz w:val="24"/>
          <w:szCs w:val="24"/>
          <w:lang w:val="en-US" w:eastAsia="zh-CN" w:bidi="ar"/>
        </w:rPr>
        <w:t>阶段化学需氧量</w:t>
      </w:r>
      <w:r>
        <w:rPr>
          <w:rFonts w:hint="eastAsia" w:ascii="宋体" w:hAnsi="宋体" w:cs="宋体"/>
          <w:color w:val="000000"/>
          <w:kern w:val="0"/>
          <w:sz w:val="24"/>
          <w:szCs w:val="24"/>
          <w:lang w:val="en-US" w:eastAsia="zh-CN" w:bidi="ar"/>
        </w:rPr>
        <w:t>78.293</w:t>
      </w:r>
      <w:r>
        <w:rPr>
          <w:rFonts w:hint="eastAsia" w:ascii="宋体" w:hAnsi="宋体" w:eastAsia="宋体" w:cs="宋体"/>
          <w:color w:val="000000"/>
          <w:kern w:val="0"/>
          <w:sz w:val="24"/>
          <w:szCs w:val="24"/>
          <w:lang w:val="en-US" w:eastAsia="zh-CN" w:bidi="ar"/>
        </w:rPr>
        <w:t>吨/年，氨氮0.0</w:t>
      </w:r>
      <w:r>
        <w:rPr>
          <w:rFonts w:hint="eastAsia" w:ascii="宋体" w:hAnsi="宋体" w:cs="宋体"/>
          <w:color w:val="000000"/>
          <w:kern w:val="0"/>
          <w:sz w:val="24"/>
          <w:szCs w:val="24"/>
          <w:lang w:val="en-US" w:eastAsia="zh-CN" w:bidi="ar"/>
        </w:rPr>
        <w:t>73</w:t>
      </w:r>
      <w:r>
        <w:rPr>
          <w:rFonts w:hint="eastAsia" w:ascii="宋体" w:hAnsi="宋体" w:eastAsia="宋体" w:cs="宋体"/>
          <w:color w:val="000000"/>
          <w:kern w:val="0"/>
          <w:sz w:val="24"/>
          <w:szCs w:val="24"/>
          <w:lang w:val="en-US" w:eastAsia="zh-CN" w:bidi="ar"/>
        </w:rPr>
        <w:t>吨/年，一期</w:t>
      </w:r>
      <w:r>
        <w:rPr>
          <w:rFonts w:hint="eastAsia" w:ascii="宋体" w:hAnsi="宋体" w:cs="宋体"/>
          <w:color w:val="000000"/>
          <w:kern w:val="0"/>
          <w:sz w:val="24"/>
          <w:szCs w:val="24"/>
          <w:lang w:val="en-US" w:eastAsia="zh-CN" w:bidi="ar"/>
        </w:rPr>
        <w:t>二</w:t>
      </w:r>
      <w:r>
        <w:rPr>
          <w:rFonts w:hint="eastAsia" w:ascii="宋体" w:hAnsi="宋体" w:eastAsia="宋体" w:cs="宋体"/>
          <w:color w:val="000000"/>
          <w:kern w:val="0"/>
          <w:sz w:val="24"/>
          <w:szCs w:val="24"/>
          <w:lang w:val="en-US" w:eastAsia="zh-CN" w:bidi="ar"/>
        </w:rPr>
        <w:t>阶段许可量为化学需氧量91.25吨/年，氨氮9.125吨/年。符合总量控制要求。</w:t>
      </w:r>
    </w:p>
    <w:p w14:paraId="76ECAAB7">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1"/>
        <w:rPr>
          <w:rFonts w:hint="eastAsia" w:ascii="宋体" w:hAnsi="宋体" w:eastAsia="宋体" w:cs="宋体"/>
          <w:b/>
          <w:bCs/>
          <w:color w:val="000000"/>
          <w:kern w:val="0"/>
          <w:sz w:val="28"/>
          <w:szCs w:val="28"/>
          <w:lang w:val="en-US" w:eastAsia="zh-CN" w:bidi="ar"/>
        </w:rPr>
      </w:pPr>
      <w:bookmarkStart w:id="82" w:name="_Toc23907"/>
      <w:r>
        <w:rPr>
          <w:rFonts w:hint="default" w:ascii="宋体" w:hAnsi="宋体" w:eastAsia="宋体" w:cs="宋体"/>
          <w:b/>
          <w:bCs/>
          <w:color w:val="000000"/>
          <w:kern w:val="0"/>
          <w:sz w:val="28"/>
          <w:szCs w:val="28"/>
          <w:lang w:val="en-US" w:eastAsia="zh-CN" w:bidi="ar"/>
        </w:rPr>
        <w:t>1</w:t>
      </w:r>
      <w:r>
        <w:rPr>
          <w:rFonts w:hint="eastAsia" w:ascii="宋体" w:hAnsi="宋体" w:eastAsia="宋体" w:cs="宋体"/>
          <w:b/>
          <w:bCs/>
          <w:color w:val="000000"/>
          <w:kern w:val="0"/>
          <w:sz w:val="28"/>
          <w:szCs w:val="28"/>
          <w:lang w:val="en-US" w:eastAsia="zh-CN" w:bidi="ar"/>
        </w:rPr>
        <w:t>1</w:t>
      </w:r>
      <w:r>
        <w:rPr>
          <w:rFonts w:hint="default" w:ascii="宋体" w:hAnsi="宋体" w:eastAsia="宋体" w:cs="宋体"/>
          <w:b/>
          <w:bCs/>
          <w:color w:val="000000"/>
          <w:kern w:val="0"/>
          <w:sz w:val="28"/>
          <w:szCs w:val="28"/>
          <w:lang w:val="en-US" w:eastAsia="zh-CN" w:bidi="ar"/>
        </w:rPr>
        <w:t>.</w:t>
      </w:r>
      <w:r>
        <w:rPr>
          <w:rFonts w:hint="eastAsia" w:ascii="宋体" w:hAnsi="宋体" w:eastAsia="宋体" w:cs="宋体"/>
          <w:b/>
          <w:bCs/>
          <w:color w:val="000000"/>
          <w:kern w:val="0"/>
          <w:sz w:val="28"/>
          <w:szCs w:val="28"/>
          <w:lang w:val="en-US" w:eastAsia="zh-CN" w:bidi="ar"/>
        </w:rPr>
        <w:t>2  环境管理</w:t>
      </w:r>
      <w:bookmarkEnd w:id="82"/>
    </w:p>
    <w:p w14:paraId="1C63FA8A">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工程施工期和运行期环境保护管理机构和制度健全，使得工程的各项环境保护措施得以基本落实。为更好地做好本工程运行期的环境保护工作，运行期建设单位应加强对环保设施的日常维护与保养，确保污染物正常稳定达标排放。同时，为进一步完善环境管理制度，建议建立“环境意识”教育制度，不断提高全体职员与周围居民的环境保护意识。</w:t>
      </w:r>
    </w:p>
    <w:p w14:paraId="17F9D5EC">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outlineLvl w:val="1"/>
        <w:rPr>
          <w:rFonts w:hint="eastAsia" w:ascii="宋体" w:hAnsi="宋体" w:eastAsia="宋体" w:cs="宋体"/>
          <w:b/>
          <w:bCs/>
          <w:color w:val="000000"/>
          <w:kern w:val="0"/>
          <w:sz w:val="28"/>
          <w:szCs w:val="28"/>
          <w:lang w:val="en-US" w:eastAsia="zh-CN" w:bidi="ar"/>
        </w:rPr>
      </w:pPr>
      <w:bookmarkStart w:id="83" w:name="_Toc18079"/>
      <w:r>
        <w:rPr>
          <w:rFonts w:hint="default" w:ascii="宋体" w:hAnsi="宋体" w:eastAsia="宋体" w:cs="宋体"/>
          <w:b/>
          <w:bCs/>
          <w:color w:val="000000"/>
          <w:kern w:val="0"/>
          <w:sz w:val="28"/>
          <w:szCs w:val="28"/>
          <w:lang w:val="en-US" w:eastAsia="zh-CN" w:bidi="ar"/>
        </w:rPr>
        <w:t>1</w:t>
      </w:r>
      <w:r>
        <w:rPr>
          <w:rFonts w:hint="eastAsia" w:ascii="宋体" w:hAnsi="宋体" w:eastAsia="宋体" w:cs="宋体"/>
          <w:b/>
          <w:bCs/>
          <w:color w:val="000000"/>
          <w:kern w:val="0"/>
          <w:sz w:val="28"/>
          <w:szCs w:val="28"/>
          <w:lang w:val="en-US" w:eastAsia="zh-CN" w:bidi="ar"/>
        </w:rPr>
        <w:t>1</w:t>
      </w:r>
      <w:r>
        <w:rPr>
          <w:rFonts w:hint="default" w:ascii="宋体" w:hAnsi="宋体" w:eastAsia="宋体" w:cs="宋体"/>
          <w:b/>
          <w:bCs/>
          <w:color w:val="000000"/>
          <w:kern w:val="0"/>
          <w:sz w:val="28"/>
          <w:szCs w:val="28"/>
          <w:lang w:val="en-US" w:eastAsia="zh-CN" w:bidi="ar"/>
        </w:rPr>
        <w:t>.</w:t>
      </w:r>
      <w:r>
        <w:rPr>
          <w:rFonts w:hint="eastAsia" w:ascii="宋体" w:hAnsi="宋体" w:eastAsia="宋体" w:cs="宋体"/>
          <w:b/>
          <w:bCs/>
          <w:color w:val="000000"/>
          <w:kern w:val="0"/>
          <w:sz w:val="28"/>
          <w:szCs w:val="28"/>
          <w:lang w:val="en-US" w:eastAsia="zh-CN" w:bidi="ar"/>
        </w:rPr>
        <w:t>3  存在问题及建议</w:t>
      </w:r>
      <w:bookmarkEnd w:id="83"/>
    </w:p>
    <w:p w14:paraId="0227B2FF">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和县经济开发区污水处理厂一期二阶段在施工期和试运行期间基本落实了环境影响报告书提出的环保措施及环境保护行政管理部门的意见。在项目运行期间企业还应做好以下事项：</w:t>
      </w:r>
    </w:p>
    <w:p w14:paraId="4CD0FC3A">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1、应根据国家和省排污口规范化整治的要求规范建设和设置污水排放口及标志；</w:t>
      </w:r>
    </w:p>
    <w:p w14:paraId="0F5F7BCB">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2、尽快落实恶臭气体的收集及治理处理装置；</w:t>
      </w:r>
    </w:p>
    <w:p w14:paraId="5C558162">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pPr>
      <w:r>
        <w:rPr>
          <w:rFonts w:hint="eastAsia" w:ascii="宋体" w:hAnsi="宋体" w:eastAsia="宋体" w:cs="宋体"/>
          <w:color w:val="000000"/>
          <w:kern w:val="0"/>
          <w:sz w:val="24"/>
          <w:szCs w:val="24"/>
          <w:lang w:val="en-US" w:eastAsia="zh-CN" w:bidi="ar"/>
        </w:rPr>
        <w:t>3、建设单位加强生产和环保设施日常运行维护、管理和台账记录，严格执行各项环境管理制度，规范环保设施运行操作，确保各项污染物长期稳定达标排放。</w:t>
      </w:r>
    </w:p>
    <w:p w14:paraId="00B3D93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000000"/>
          <w:kern w:val="0"/>
          <w:sz w:val="24"/>
          <w:szCs w:val="24"/>
          <w:lang w:val="en-US" w:eastAsia="zh-CN" w:bidi="ar"/>
        </w:rPr>
      </w:pPr>
    </w:p>
    <w:p w14:paraId="6A6A3A4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000000"/>
          <w:kern w:val="0"/>
          <w:sz w:val="24"/>
          <w:szCs w:val="24"/>
          <w:lang w:val="en-US" w:eastAsia="zh-CN" w:bidi="ar"/>
        </w:rPr>
        <w:sectPr>
          <w:pgSz w:w="11906" w:h="16838"/>
          <w:pgMar w:top="1440" w:right="1800" w:bottom="1440" w:left="1800" w:header="850" w:footer="1020" w:gutter="0"/>
          <w:pgBorders w:offsetFrom="page">
            <w:top w:val="none" w:sz="0" w:space="0"/>
            <w:left w:val="none" w:sz="0" w:space="0"/>
            <w:bottom w:val="none" w:sz="0" w:space="0"/>
            <w:right w:val="none" w:sz="0" w:space="0"/>
          </w:pgBorders>
          <w:pgNumType w:fmt="decimal"/>
          <w:cols w:space="425" w:num="1"/>
          <w:docGrid w:type="lines" w:linePitch="312" w:charSpace="0"/>
        </w:sectPr>
      </w:pPr>
    </w:p>
    <w:p w14:paraId="2847EB80">
      <w:pPr>
        <w:keepNext w:val="0"/>
        <w:keepLines w:val="0"/>
        <w:widowControl/>
        <w:suppressLineNumbers w:val="0"/>
        <w:jc w:val="left"/>
        <w:outlineLvl w:val="0"/>
        <w:rPr>
          <w:rFonts w:hint="eastAsia" w:ascii="宋体" w:hAnsi="宋体" w:eastAsia="宋体" w:cs="宋体"/>
          <w:b/>
          <w:bCs/>
          <w:color w:val="000000"/>
          <w:kern w:val="0"/>
          <w:sz w:val="32"/>
          <w:szCs w:val="32"/>
          <w:lang w:val="en-US" w:eastAsia="zh-CN" w:bidi="ar"/>
        </w:rPr>
      </w:pPr>
      <w:bookmarkStart w:id="84" w:name="_Toc25413"/>
      <w:r>
        <w:rPr>
          <w:rFonts w:hint="eastAsia" w:ascii="宋体" w:hAnsi="宋体" w:eastAsia="宋体" w:cs="宋体"/>
          <w:b/>
          <w:bCs/>
          <w:color w:val="000000"/>
          <w:kern w:val="0"/>
          <w:sz w:val="32"/>
          <w:szCs w:val="32"/>
          <w:lang w:val="en-US" w:eastAsia="zh-CN" w:bidi="ar"/>
        </w:rPr>
        <w:t>12.  建设项目竣工环境保护“三同时”验收登记表及</w:t>
      </w:r>
      <w:bookmarkEnd w:id="84"/>
    </w:p>
    <w:p w14:paraId="27AF0AB5">
      <w:pPr>
        <w:ind w:firstLine="482"/>
        <w:rPr>
          <w:rFonts w:hint="eastAsia" w:ascii="宋体" w:hAnsi="宋体" w:eastAsia="宋体" w:cs="宋体"/>
          <w:b/>
          <w:color w:val="000000"/>
          <w:szCs w:val="24"/>
        </w:rPr>
      </w:pPr>
      <w:r>
        <w:rPr>
          <w:rFonts w:hint="eastAsia" w:ascii="宋体" w:hAnsi="宋体" w:eastAsia="宋体" w:cs="宋体"/>
          <w:b/>
          <w:color w:val="000000"/>
          <w:szCs w:val="24"/>
        </w:rPr>
        <w:t xml:space="preserve">填表单位（盖章）：            </w:t>
      </w:r>
      <w:r>
        <w:rPr>
          <w:rFonts w:hint="eastAsia" w:ascii="宋体" w:hAnsi="宋体" w:eastAsia="宋体" w:cs="宋体"/>
          <w:b/>
          <w:color w:val="000000"/>
          <w:szCs w:val="24"/>
          <w:lang w:val="en-US" w:eastAsia="zh-CN"/>
        </w:rPr>
        <w:t xml:space="preserve">                           </w:t>
      </w:r>
      <w:r>
        <w:rPr>
          <w:rFonts w:hint="eastAsia" w:ascii="宋体" w:hAnsi="宋体" w:eastAsia="宋体" w:cs="宋体"/>
          <w:b/>
          <w:color w:val="000000"/>
          <w:szCs w:val="24"/>
        </w:rPr>
        <w:t>填表人（签字）：                              项目经办人（签字）：</w:t>
      </w:r>
    </w:p>
    <w:tbl>
      <w:tblPr>
        <w:tblStyle w:val="19"/>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4"/>
        <w:gridCol w:w="143"/>
        <w:gridCol w:w="1634"/>
        <w:gridCol w:w="598"/>
        <w:gridCol w:w="1002"/>
        <w:gridCol w:w="1731"/>
        <w:gridCol w:w="1356"/>
        <w:gridCol w:w="1238"/>
        <w:gridCol w:w="568"/>
        <w:gridCol w:w="724"/>
        <w:gridCol w:w="1411"/>
        <w:gridCol w:w="1343"/>
        <w:gridCol w:w="2653"/>
        <w:gridCol w:w="1162"/>
        <w:gridCol w:w="825"/>
        <w:gridCol w:w="674"/>
        <w:gridCol w:w="783"/>
        <w:gridCol w:w="644"/>
        <w:gridCol w:w="2118"/>
      </w:tblGrid>
      <w:tr w14:paraId="5287E9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30" w:hRule="exact"/>
          <w:jc w:val="center"/>
        </w:trPr>
        <w:tc>
          <w:tcPr>
            <w:tcW w:w="103" w:type="pct"/>
            <w:vMerge w:val="restart"/>
            <w:noWrap w:val="0"/>
            <w:tcMar>
              <w:left w:w="57" w:type="dxa"/>
              <w:right w:w="57" w:type="dxa"/>
            </w:tcMar>
            <w:textDirection w:val="tbRlV"/>
            <w:vAlign w:val="center"/>
          </w:tcPr>
          <w:p w14:paraId="4F0B8E78">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建设项目</w:t>
            </w:r>
          </w:p>
        </w:tc>
        <w:tc>
          <w:tcPr>
            <w:tcW w:w="564" w:type="pct"/>
            <w:gridSpan w:val="3"/>
            <w:noWrap w:val="0"/>
            <w:tcMar>
              <w:left w:w="57" w:type="dxa"/>
              <w:right w:w="57" w:type="dxa"/>
            </w:tcMar>
            <w:vAlign w:val="center"/>
          </w:tcPr>
          <w:p w14:paraId="0B1F8C3C">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项目名称</w:t>
            </w:r>
          </w:p>
        </w:tc>
        <w:tc>
          <w:tcPr>
            <w:tcW w:w="1572" w:type="pct"/>
            <w:gridSpan w:val="6"/>
            <w:noWrap w:val="0"/>
            <w:tcMar>
              <w:left w:w="57" w:type="dxa"/>
              <w:right w:w="57" w:type="dxa"/>
            </w:tcMar>
            <w:vAlign w:val="center"/>
          </w:tcPr>
          <w:p w14:paraId="5C4BEC3C">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val="en-US" w:eastAsia="zh-CN"/>
              </w:rPr>
              <w:t>和县经济开发区污水处理厂及配套管网工程项目一期二阶段</w:t>
            </w:r>
          </w:p>
        </w:tc>
        <w:tc>
          <w:tcPr>
            <w:tcW w:w="653" w:type="pct"/>
            <w:gridSpan w:val="2"/>
            <w:noWrap w:val="0"/>
            <w:tcMar>
              <w:left w:w="57" w:type="dxa"/>
              <w:right w:w="57" w:type="dxa"/>
            </w:tcMar>
            <w:vAlign w:val="center"/>
          </w:tcPr>
          <w:p w14:paraId="2F8C18B1">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项目代码</w:t>
            </w:r>
          </w:p>
        </w:tc>
        <w:tc>
          <w:tcPr>
            <w:tcW w:w="630" w:type="pct"/>
            <w:noWrap w:val="0"/>
            <w:tcMar>
              <w:left w:w="57" w:type="dxa"/>
              <w:right w:w="57" w:type="dxa"/>
            </w:tcMar>
            <w:vAlign w:val="center"/>
          </w:tcPr>
          <w:p w14:paraId="4F762DE4">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lang w:val="en-US" w:eastAsia="zh-CN"/>
              </w:rPr>
              <w:t>2019-340523-78-03-000610</w:t>
            </w:r>
          </w:p>
        </w:tc>
        <w:tc>
          <w:tcPr>
            <w:tcW w:w="471" w:type="pct"/>
            <w:gridSpan w:val="2"/>
            <w:noWrap w:val="0"/>
            <w:tcMar>
              <w:left w:w="57" w:type="dxa"/>
              <w:right w:w="57" w:type="dxa"/>
            </w:tcMar>
            <w:vAlign w:val="center"/>
          </w:tcPr>
          <w:p w14:paraId="3AA43C86">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建设地点</w:t>
            </w:r>
          </w:p>
        </w:tc>
        <w:tc>
          <w:tcPr>
            <w:tcW w:w="1002" w:type="pct"/>
            <w:gridSpan w:val="4"/>
            <w:noWrap w:val="0"/>
            <w:tcMar>
              <w:left w:w="57" w:type="dxa"/>
              <w:right w:w="57" w:type="dxa"/>
            </w:tcMar>
            <w:vAlign w:val="center"/>
          </w:tcPr>
          <w:p w14:paraId="68DE6EC7">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lang w:val="en-US" w:eastAsia="zh-CN"/>
              </w:rPr>
              <w:t xml:space="preserve">和县经济开发区规划纬二路与经三 </w:t>
            </w:r>
          </w:p>
          <w:p w14:paraId="7648BA3E">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lang w:val="en-US" w:eastAsia="zh-CN"/>
              </w:rPr>
              <w:t>路交口西北角</w:t>
            </w:r>
          </w:p>
          <w:p w14:paraId="6217361D">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lang w:eastAsia="zh-CN"/>
              </w:rPr>
            </w:pPr>
          </w:p>
        </w:tc>
      </w:tr>
      <w:tr w14:paraId="0A4F7B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1" w:hRule="exact"/>
          <w:jc w:val="center"/>
        </w:trPr>
        <w:tc>
          <w:tcPr>
            <w:tcW w:w="103" w:type="pct"/>
            <w:vMerge w:val="continue"/>
            <w:noWrap w:val="0"/>
            <w:tcMar>
              <w:left w:w="57" w:type="dxa"/>
              <w:right w:w="57" w:type="dxa"/>
            </w:tcMar>
            <w:vAlign w:val="center"/>
          </w:tcPr>
          <w:p w14:paraId="2069D7D8">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p>
        </w:tc>
        <w:tc>
          <w:tcPr>
            <w:tcW w:w="564" w:type="pct"/>
            <w:gridSpan w:val="3"/>
            <w:noWrap w:val="0"/>
            <w:tcMar>
              <w:left w:w="57" w:type="dxa"/>
              <w:right w:w="57" w:type="dxa"/>
            </w:tcMar>
            <w:vAlign w:val="center"/>
          </w:tcPr>
          <w:p w14:paraId="0C6F6B37">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行业类别（分类管理名录）</w:t>
            </w:r>
          </w:p>
        </w:tc>
        <w:tc>
          <w:tcPr>
            <w:tcW w:w="1572" w:type="pct"/>
            <w:gridSpan w:val="6"/>
            <w:noWrap w:val="0"/>
            <w:tcMar>
              <w:left w:w="57" w:type="dxa"/>
              <w:right w:w="57" w:type="dxa"/>
            </w:tcMar>
            <w:vAlign w:val="center"/>
          </w:tcPr>
          <w:p w14:paraId="01653B0D">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lang w:val="en-US" w:eastAsia="zh-CN"/>
              </w:rPr>
            </w:pPr>
            <w:r>
              <w:rPr>
                <w:rFonts w:hint="default" w:ascii="宋体" w:hAnsi="宋体" w:eastAsia="宋体" w:cs="宋体"/>
                <w:b/>
                <w:color w:val="000000"/>
                <w:sz w:val="21"/>
                <w:szCs w:val="21"/>
                <w:lang w:val="en-US" w:eastAsia="zh-CN"/>
              </w:rPr>
              <w:t>[D4620]</w:t>
            </w:r>
            <w:r>
              <w:rPr>
                <w:rFonts w:hint="eastAsia" w:ascii="宋体" w:hAnsi="宋体" w:eastAsia="宋体" w:cs="宋体"/>
                <w:b/>
                <w:color w:val="000000"/>
                <w:sz w:val="21"/>
                <w:szCs w:val="21"/>
                <w:lang w:val="en-US" w:eastAsia="zh-CN"/>
              </w:rPr>
              <w:t>污水处理及其再生利用</w:t>
            </w:r>
          </w:p>
        </w:tc>
        <w:tc>
          <w:tcPr>
            <w:tcW w:w="653" w:type="pct"/>
            <w:gridSpan w:val="2"/>
            <w:noWrap w:val="0"/>
            <w:tcMar>
              <w:left w:w="57" w:type="dxa"/>
              <w:right w:w="57" w:type="dxa"/>
            </w:tcMar>
            <w:vAlign w:val="center"/>
          </w:tcPr>
          <w:p w14:paraId="77A2E9E2">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建设性质</w:t>
            </w:r>
          </w:p>
        </w:tc>
        <w:tc>
          <w:tcPr>
            <w:tcW w:w="1102" w:type="pct"/>
            <w:gridSpan w:val="3"/>
            <w:noWrap w:val="0"/>
            <w:tcMar>
              <w:left w:w="57" w:type="dxa"/>
              <w:right w:w="57" w:type="dxa"/>
            </w:tcMar>
            <w:vAlign w:val="center"/>
          </w:tcPr>
          <w:p w14:paraId="45D51812">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cs="宋体"/>
                <w:b/>
                <w:color w:val="000000"/>
                <w:sz w:val="21"/>
                <w:szCs w:val="21"/>
                <w:lang w:eastAsia="zh-CN"/>
              </w:rPr>
              <w:t>☑</w:t>
            </w:r>
            <w:r>
              <w:rPr>
                <w:rFonts w:hint="eastAsia" w:ascii="宋体" w:hAnsi="宋体" w:eastAsia="宋体" w:cs="宋体"/>
                <w:b/>
                <w:color w:val="000000"/>
                <w:sz w:val="21"/>
                <w:szCs w:val="21"/>
              </w:rPr>
              <w:t xml:space="preserve">新建  </w:t>
            </w:r>
            <w:r>
              <w:rPr>
                <w:rFonts w:hint="eastAsia" w:ascii="宋体" w:hAnsi="宋体" w:eastAsia="宋体" w:cs="宋体"/>
                <w:b/>
                <w:color w:val="000000"/>
                <w:sz w:val="21"/>
                <w:szCs w:val="21"/>
              </w:rPr>
              <w:sym w:font="Wingdings 2" w:char="00A3"/>
            </w:r>
            <w:r>
              <w:rPr>
                <w:rFonts w:hint="eastAsia" w:ascii="宋体" w:hAnsi="宋体" w:eastAsia="宋体" w:cs="宋体"/>
                <w:b/>
                <w:color w:val="000000"/>
                <w:sz w:val="21"/>
                <w:szCs w:val="21"/>
              </w:rPr>
              <w:t xml:space="preserve"> 改扩建  □技术改造</w:t>
            </w:r>
          </w:p>
        </w:tc>
        <w:tc>
          <w:tcPr>
            <w:tcW w:w="346" w:type="pct"/>
            <w:gridSpan w:val="2"/>
            <w:noWrap w:val="0"/>
            <w:tcMar>
              <w:left w:w="57" w:type="dxa"/>
              <w:right w:w="57" w:type="dxa"/>
            </w:tcMar>
            <w:vAlign w:val="center"/>
          </w:tcPr>
          <w:p w14:paraId="77BB1B5A">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项目厂区中心经度/纬度</w:t>
            </w:r>
          </w:p>
        </w:tc>
        <w:tc>
          <w:tcPr>
            <w:tcW w:w="656" w:type="pct"/>
            <w:gridSpan w:val="2"/>
            <w:noWrap w:val="0"/>
            <w:tcMar>
              <w:left w:w="57" w:type="dxa"/>
              <w:right w:w="57" w:type="dxa"/>
            </w:tcMar>
            <w:vAlign w:val="center"/>
          </w:tcPr>
          <w:p w14:paraId="0DA2A75A">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lang w:val="en-US" w:eastAsia="zh-CN"/>
              </w:rPr>
              <w:t>E118°22′52″,</w:t>
            </w:r>
          </w:p>
          <w:p w14:paraId="7D3700D5">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lang w:val="en-US" w:eastAsia="zh-CN"/>
              </w:rPr>
              <w:t>N31°46′4″</w:t>
            </w:r>
          </w:p>
        </w:tc>
      </w:tr>
      <w:tr w14:paraId="7C22A1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33" w:hRule="exact"/>
          <w:jc w:val="center"/>
        </w:trPr>
        <w:tc>
          <w:tcPr>
            <w:tcW w:w="103" w:type="pct"/>
            <w:vMerge w:val="continue"/>
            <w:noWrap w:val="0"/>
            <w:tcMar>
              <w:left w:w="57" w:type="dxa"/>
              <w:right w:w="57" w:type="dxa"/>
            </w:tcMar>
            <w:vAlign w:val="center"/>
          </w:tcPr>
          <w:p w14:paraId="7EC3AD35">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p>
        </w:tc>
        <w:tc>
          <w:tcPr>
            <w:tcW w:w="564" w:type="pct"/>
            <w:gridSpan w:val="3"/>
            <w:noWrap w:val="0"/>
            <w:tcMar>
              <w:left w:w="57" w:type="dxa"/>
              <w:right w:w="57" w:type="dxa"/>
            </w:tcMar>
            <w:vAlign w:val="center"/>
          </w:tcPr>
          <w:p w14:paraId="13570903">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设计能力</w:t>
            </w:r>
          </w:p>
        </w:tc>
        <w:tc>
          <w:tcPr>
            <w:tcW w:w="1572" w:type="pct"/>
            <w:gridSpan w:val="6"/>
            <w:noWrap w:val="0"/>
            <w:tcMar>
              <w:left w:w="57" w:type="dxa"/>
              <w:right w:w="57" w:type="dxa"/>
            </w:tcMar>
            <w:vAlign w:val="center"/>
          </w:tcPr>
          <w:p w14:paraId="02F7BF90">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宋体" w:hAnsi="宋体" w:eastAsia="宋体" w:cs="宋体"/>
                <w:b/>
                <w:color w:val="000000"/>
                <w:sz w:val="21"/>
                <w:szCs w:val="21"/>
                <w:lang w:val="en-US" w:eastAsia="zh-CN"/>
              </w:rPr>
            </w:pPr>
            <w:r>
              <w:rPr>
                <w:rFonts w:hint="eastAsia" w:ascii="宋体" w:hAnsi="宋体" w:cs="宋体"/>
                <w:b/>
                <w:bCs/>
                <w:spacing w:val="-2"/>
                <w:kern w:val="0"/>
                <w:sz w:val="21"/>
                <w:szCs w:val="21"/>
                <w:lang w:val="en-US" w:eastAsia="zh-CN"/>
              </w:rPr>
              <w:t>废水处理量5000t/d</w:t>
            </w:r>
          </w:p>
        </w:tc>
        <w:tc>
          <w:tcPr>
            <w:tcW w:w="653" w:type="pct"/>
            <w:gridSpan w:val="2"/>
            <w:noWrap w:val="0"/>
            <w:tcMar>
              <w:left w:w="57" w:type="dxa"/>
              <w:right w:w="57" w:type="dxa"/>
            </w:tcMar>
            <w:vAlign w:val="center"/>
          </w:tcPr>
          <w:p w14:paraId="107928C6">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实际能力</w:t>
            </w:r>
          </w:p>
        </w:tc>
        <w:tc>
          <w:tcPr>
            <w:tcW w:w="630" w:type="pct"/>
            <w:noWrap w:val="0"/>
            <w:tcMar>
              <w:left w:w="57" w:type="dxa"/>
              <w:right w:w="57" w:type="dxa"/>
            </w:tcMar>
            <w:vAlign w:val="center"/>
          </w:tcPr>
          <w:p w14:paraId="725B5377">
            <w:pPr>
              <w:jc w:val="center"/>
              <w:rPr>
                <w:rFonts w:hint="eastAsia" w:ascii="宋体" w:hAnsi="宋体" w:eastAsia="宋体" w:cs="宋体"/>
                <w:b/>
                <w:bCs/>
                <w:color w:val="000000"/>
                <w:sz w:val="21"/>
                <w:szCs w:val="21"/>
                <w:lang w:val="en-US" w:eastAsia="zh-CN"/>
              </w:rPr>
            </w:pPr>
            <w:r>
              <w:rPr>
                <w:rFonts w:hint="eastAsia" w:ascii="宋体" w:hAnsi="宋体" w:cs="宋体"/>
                <w:b/>
                <w:bCs/>
                <w:spacing w:val="-2"/>
                <w:kern w:val="0"/>
                <w:sz w:val="21"/>
                <w:szCs w:val="21"/>
                <w:lang w:val="en-US" w:eastAsia="zh-CN"/>
              </w:rPr>
              <w:t>废水处理量5000t/d</w:t>
            </w:r>
          </w:p>
        </w:tc>
        <w:tc>
          <w:tcPr>
            <w:tcW w:w="471" w:type="pct"/>
            <w:gridSpan w:val="2"/>
            <w:noWrap w:val="0"/>
            <w:tcMar>
              <w:left w:w="57" w:type="dxa"/>
              <w:right w:w="57" w:type="dxa"/>
            </w:tcMar>
            <w:vAlign w:val="center"/>
          </w:tcPr>
          <w:p w14:paraId="05116F7C">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环评单位</w:t>
            </w:r>
          </w:p>
        </w:tc>
        <w:tc>
          <w:tcPr>
            <w:tcW w:w="1002" w:type="pct"/>
            <w:gridSpan w:val="4"/>
            <w:noWrap w:val="0"/>
            <w:tcMar>
              <w:left w:w="57" w:type="dxa"/>
              <w:right w:w="57" w:type="dxa"/>
            </w:tcMar>
            <w:vAlign w:val="center"/>
          </w:tcPr>
          <w:p w14:paraId="5AF4742A">
            <w:pPr>
              <w:jc w:val="center"/>
              <w:rPr>
                <w:rFonts w:hint="eastAsia" w:ascii="宋体" w:hAnsi="宋体" w:eastAsia="宋体" w:cs="宋体"/>
                <w:b/>
                <w:bCs/>
                <w:spacing w:val="-2"/>
                <w:kern w:val="0"/>
                <w:sz w:val="21"/>
                <w:szCs w:val="21"/>
                <w:lang w:val="en-US" w:eastAsia="zh-CN"/>
              </w:rPr>
            </w:pPr>
            <w:r>
              <w:rPr>
                <w:rFonts w:hint="eastAsia" w:ascii="宋体" w:hAnsi="宋体" w:eastAsia="宋体" w:cs="宋体"/>
                <w:b/>
                <w:bCs/>
                <w:spacing w:val="-2"/>
                <w:kern w:val="0"/>
                <w:sz w:val="21"/>
                <w:szCs w:val="21"/>
                <w:lang w:val="en-US" w:eastAsia="zh-CN"/>
              </w:rPr>
              <w:t>安徽锦程安环科技发展有限公司</w:t>
            </w:r>
          </w:p>
          <w:p w14:paraId="4057F6F8">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lang w:eastAsia="zh-CN"/>
              </w:rPr>
            </w:pPr>
          </w:p>
        </w:tc>
      </w:tr>
      <w:tr w14:paraId="22F3A9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03" w:type="pct"/>
            <w:vMerge w:val="continue"/>
            <w:noWrap w:val="0"/>
            <w:tcMar>
              <w:left w:w="57" w:type="dxa"/>
              <w:right w:w="57" w:type="dxa"/>
            </w:tcMar>
            <w:vAlign w:val="center"/>
          </w:tcPr>
          <w:p w14:paraId="5ECB88EF">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p>
        </w:tc>
        <w:tc>
          <w:tcPr>
            <w:tcW w:w="564" w:type="pct"/>
            <w:gridSpan w:val="3"/>
            <w:noWrap w:val="0"/>
            <w:tcMar>
              <w:left w:w="57" w:type="dxa"/>
              <w:right w:w="57" w:type="dxa"/>
            </w:tcMar>
            <w:vAlign w:val="center"/>
          </w:tcPr>
          <w:p w14:paraId="1ADD5A9C">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环评文件审批机关</w:t>
            </w:r>
          </w:p>
        </w:tc>
        <w:tc>
          <w:tcPr>
            <w:tcW w:w="1572" w:type="pct"/>
            <w:gridSpan w:val="6"/>
            <w:noWrap w:val="0"/>
            <w:tcMar>
              <w:left w:w="57" w:type="dxa"/>
              <w:right w:w="57" w:type="dxa"/>
            </w:tcMar>
            <w:vAlign w:val="center"/>
          </w:tcPr>
          <w:p w14:paraId="0B348751">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lang w:eastAsia="zh-CN"/>
              </w:rPr>
            </w:pPr>
            <w:r>
              <w:rPr>
                <w:rFonts w:hint="eastAsia" w:ascii="宋体" w:hAnsi="宋体" w:cs="宋体"/>
                <w:b/>
                <w:color w:val="000000"/>
                <w:sz w:val="21"/>
                <w:szCs w:val="21"/>
                <w:lang w:eastAsia="zh-CN"/>
              </w:rPr>
              <w:t>马鞍山市生态环境</w:t>
            </w:r>
            <w:r>
              <w:rPr>
                <w:rFonts w:hint="eastAsia" w:ascii="宋体" w:hAnsi="宋体" w:eastAsia="宋体" w:cs="宋体"/>
                <w:b/>
                <w:bCs/>
                <w:spacing w:val="-2"/>
                <w:kern w:val="0"/>
                <w:sz w:val="21"/>
                <w:szCs w:val="21"/>
                <w:lang w:val="en-US" w:eastAsia="zh-CN"/>
              </w:rPr>
              <w:t>局</w:t>
            </w:r>
          </w:p>
        </w:tc>
        <w:tc>
          <w:tcPr>
            <w:tcW w:w="653" w:type="pct"/>
            <w:gridSpan w:val="2"/>
            <w:noWrap w:val="0"/>
            <w:tcMar>
              <w:left w:w="57" w:type="dxa"/>
              <w:right w:w="57" w:type="dxa"/>
            </w:tcMar>
            <w:vAlign w:val="center"/>
          </w:tcPr>
          <w:p w14:paraId="2AE3BD9C">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审批文号</w:t>
            </w:r>
          </w:p>
        </w:tc>
        <w:tc>
          <w:tcPr>
            <w:tcW w:w="630" w:type="pct"/>
            <w:noWrap w:val="0"/>
            <w:tcMar>
              <w:left w:w="57" w:type="dxa"/>
              <w:right w:w="57" w:type="dxa"/>
            </w:tcMar>
            <w:vAlign w:val="center"/>
          </w:tcPr>
          <w:p w14:paraId="0C80A36B">
            <w:pPr>
              <w:keepNext w:val="0"/>
              <w:keepLines w:val="0"/>
              <w:widowControl/>
              <w:suppressLineNumbers w:val="0"/>
              <w:jc w:val="left"/>
              <w:rPr>
                <w:rFonts w:hint="eastAsia" w:ascii="宋体" w:hAnsi="宋体" w:eastAsia="宋体" w:cs="宋体"/>
                <w:b/>
                <w:bCs/>
                <w:spacing w:val="-2"/>
                <w:kern w:val="0"/>
                <w:sz w:val="21"/>
                <w:szCs w:val="21"/>
                <w:lang w:val="en-US" w:eastAsia="zh-CN"/>
              </w:rPr>
            </w:pPr>
            <w:r>
              <w:rPr>
                <w:rFonts w:hint="eastAsia" w:ascii="宋体" w:hAnsi="宋体" w:eastAsia="宋体" w:cs="宋体"/>
                <w:b/>
                <w:bCs/>
                <w:spacing w:val="-2"/>
                <w:kern w:val="0"/>
                <w:sz w:val="21"/>
                <w:szCs w:val="21"/>
                <w:lang w:val="en-US" w:eastAsia="zh-CN"/>
              </w:rPr>
              <w:t>马环审〔2020〕</w:t>
            </w:r>
            <w:r>
              <w:rPr>
                <w:rFonts w:hint="default" w:ascii="宋体" w:hAnsi="宋体" w:eastAsia="宋体" w:cs="宋体"/>
                <w:b/>
                <w:bCs/>
                <w:spacing w:val="-2"/>
                <w:kern w:val="0"/>
                <w:sz w:val="21"/>
                <w:szCs w:val="21"/>
                <w:lang w:val="en-US" w:eastAsia="zh-CN"/>
              </w:rPr>
              <w:t xml:space="preserve">195 </w:t>
            </w:r>
            <w:r>
              <w:rPr>
                <w:rFonts w:hint="eastAsia" w:ascii="宋体" w:hAnsi="宋体" w:eastAsia="宋体" w:cs="宋体"/>
                <w:b/>
                <w:bCs/>
                <w:spacing w:val="-2"/>
                <w:kern w:val="0"/>
                <w:sz w:val="21"/>
                <w:szCs w:val="21"/>
                <w:lang w:val="en-US" w:eastAsia="zh-CN"/>
              </w:rPr>
              <w:t>号</w:t>
            </w:r>
          </w:p>
        </w:tc>
        <w:tc>
          <w:tcPr>
            <w:tcW w:w="471" w:type="pct"/>
            <w:gridSpan w:val="2"/>
            <w:noWrap w:val="0"/>
            <w:tcMar>
              <w:left w:w="57" w:type="dxa"/>
              <w:right w:w="57" w:type="dxa"/>
            </w:tcMar>
            <w:vAlign w:val="center"/>
          </w:tcPr>
          <w:p w14:paraId="01B0115E">
            <w:pPr>
              <w:jc w:val="center"/>
              <w:rPr>
                <w:rFonts w:hint="eastAsia" w:ascii="宋体" w:hAnsi="宋体" w:eastAsia="宋体" w:cs="宋体"/>
                <w:b/>
                <w:bCs/>
                <w:spacing w:val="-2"/>
                <w:kern w:val="0"/>
                <w:sz w:val="21"/>
                <w:szCs w:val="21"/>
              </w:rPr>
            </w:pPr>
            <w:r>
              <w:rPr>
                <w:rFonts w:hint="eastAsia" w:ascii="宋体" w:hAnsi="宋体" w:eastAsia="宋体" w:cs="宋体"/>
                <w:b/>
                <w:bCs/>
                <w:spacing w:val="-2"/>
                <w:kern w:val="0"/>
                <w:sz w:val="21"/>
                <w:szCs w:val="21"/>
              </w:rPr>
              <w:t>环评文件类型</w:t>
            </w:r>
          </w:p>
        </w:tc>
        <w:tc>
          <w:tcPr>
            <w:tcW w:w="1002" w:type="pct"/>
            <w:gridSpan w:val="4"/>
            <w:noWrap w:val="0"/>
            <w:tcMar>
              <w:left w:w="57" w:type="dxa"/>
              <w:right w:w="57" w:type="dxa"/>
            </w:tcMar>
            <w:vAlign w:val="center"/>
          </w:tcPr>
          <w:p w14:paraId="69B630C9">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rPr>
              <w:t>报告</w:t>
            </w:r>
            <w:r>
              <w:rPr>
                <w:rFonts w:hint="eastAsia" w:ascii="宋体" w:hAnsi="宋体" w:eastAsia="宋体" w:cs="宋体"/>
                <w:b/>
                <w:color w:val="000000"/>
                <w:sz w:val="21"/>
                <w:szCs w:val="21"/>
                <w:lang w:val="en-US" w:eastAsia="zh-CN"/>
              </w:rPr>
              <w:t>书</w:t>
            </w:r>
          </w:p>
        </w:tc>
      </w:tr>
      <w:tr w14:paraId="66C8DE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03" w:type="pct"/>
            <w:vMerge w:val="continue"/>
            <w:noWrap w:val="0"/>
            <w:tcMar>
              <w:left w:w="57" w:type="dxa"/>
              <w:right w:w="57" w:type="dxa"/>
            </w:tcMar>
            <w:vAlign w:val="center"/>
          </w:tcPr>
          <w:p w14:paraId="7A250D78">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p>
        </w:tc>
        <w:tc>
          <w:tcPr>
            <w:tcW w:w="564" w:type="pct"/>
            <w:gridSpan w:val="3"/>
            <w:noWrap w:val="0"/>
            <w:tcMar>
              <w:left w:w="57" w:type="dxa"/>
              <w:right w:w="57" w:type="dxa"/>
            </w:tcMar>
            <w:vAlign w:val="center"/>
          </w:tcPr>
          <w:p w14:paraId="024F2605">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开工日期</w:t>
            </w:r>
          </w:p>
        </w:tc>
        <w:tc>
          <w:tcPr>
            <w:tcW w:w="1572" w:type="pct"/>
            <w:gridSpan w:val="6"/>
            <w:noWrap w:val="0"/>
            <w:tcMar>
              <w:left w:w="57" w:type="dxa"/>
              <w:right w:w="57" w:type="dxa"/>
            </w:tcMar>
            <w:vAlign w:val="center"/>
          </w:tcPr>
          <w:p w14:paraId="53D73F9A">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lang w:val="en-US" w:eastAsia="zh-CN"/>
              </w:rPr>
              <w:t>202</w:t>
            </w:r>
            <w:r>
              <w:rPr>
                <w:rFonts w:hint="eastAsia" w:ascii="宋体" w:hAnsi="宋体" w:cs="宋体"/>
                <w:b/>
                <w:color w:val="000000"/>
                <w:sz w:val="21"/>
                <w:szCs w:val="21"/>
                <w:lang w:val="en-US" w:eastAsia="zh-CN"/>
              </w:rPr>
              <w:t>2</w:t>
            </w:r>
            <w:r>
              <w:rPr>
                <w:rFonts w:hint="eastAsia" w:ascii="宋体" w:hAnsi="宋体" w:eastAsia="宋体" w:cs="宋体"/>
                <w:b/>
                <w:color w:val="000000"/>
                <w:sz w:val="21"/>
                <w:szCs w:val="21"/>
              </w:rPr>
              <w:t>年</w:t>
            </w:r>
            <w:r>
              <w:rPr>
                <w:rFonts w:hint="eastAsia" w:ascii="宋体" w:hAnsi="宋体" w:cs="宋体"/>
                <w:b/>
                <w:color w:val="000000"/>
                <w:sz w:val="21"/>
                <w:szCs w:val="21"/>
                <w:lang w:val="en-US" w:eastAsia="zh-CN"/>
              </w:rPr>
              <w:t>10</w:t>
            </w:r>
            <w:r>
              <w:rPr>
                <w:rFonts w:hint="eastAsia" w:ascii="宋体" w:hAnsi="宋体" w:eastAsia="宋体" w:cs="宋体"/>
                <w:b/>
                <w:color w:val="000000"/>
                <w:sz w:val="21"/>
                <w:szCs w:val="21"/>
              </w:rPr>
              <w:t>月</w:t>
            </w:r>
          </w:p>
        </w:tc>
        <w:tc>
          <w:tcPr>
            <w:tcW w:w="653" w:type="pct"/>
            <w:gridSpan w:val="2"/>
            <w:noWrap w:val="0"/>
            <w:tcMar>
              <w:left w:w="57" w:type="dxa"/>
              <w:right w:w="57" w:type="dxa"/>
            </w:tcMar>
            <w:vAlign w:val="center"/>
          </w:tcPr>
          <w:p w14:paraId="6A05772B">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竣工日期</w:t>
            </w:r>
          </w:p>
        </w:tc>
        <w:tc>
          <w:tcPr>
            <w:tcW w:w="630" w:type="pct"/>
            <w:noWrap w:val="0"/>
            <w:tcMar>
              <w:left w:w="57" w:type="dxa"/>
              <w:right w:w="57" w:type="dxa"/>
            </w:tcMar>
            <w:vAlign w:val="center"/>
          </w:tcPr>
          <w:p w14:paraId="34356A95">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lang w:val="en-US" w:eastAsia="zh-CN"/>
              </w:rPr>
              <w:t>202</w:t>
            </w:r>
            <w:r>
              <w:rPr>
                <w:rFonts w:hint="eastAsia" w:ascii="宋体" w:hAnsi="宋体" w:cs="宋体"/>
                <w:b/>
                <w:color w:val="000000"/>
                <w:sz w:val="21"/>
                <w:szCs w:val="21"/>
                <w:lang w:val="en-US" w:eastAsia="zh-CN"/>
              </w:rPr>
              <w:t>4</w:t>
            </w:r>
            <w:r>
              <w:rPr>
                <w:rFonts w:hint="eastAsia" w:ascii="宋体" w:hAnsi="宋体" w:eastAsia="宋体" w:cs="宋体"/>
                <w:b/>
                <w:color w:val="000000"/>
                <w:sz w:val="21"/>
                <w:szCs w:val="21"/>
                <w:lang w:val="en-US" w:eastAsia="zh-CN"/>
              </w:rPr>
              <w:t>年1</w:t>
            </w:r>
            <w:r>
              <w:rPr>
                <w:rFonts w:hint="eastAsia" w:ascii="宋体" w:hAnsi="宋体" w:cs="宋体"/>
                <w:b/>
                <w:color w:val="000000"/>
                <w:sz w:val="21"/>
                <w:szCs w:val="21"/>
                <w:lang w:val="en-US" w:eastAsia="zh-CN"/>
              </w:rPr>
              <w:t>2</w:t>
            </w:r>
            <w:r>
              <w:rPr>
                <w:rFonts w:hint="eastAsia" w:ascii="宋体" w:hAnsi="宋体" w:eastAsia="宋体" w:cs="宋体"/>
                <w:b/>
                <w:color w:val="000000"/>
                <w:sz w:val="21"/>
                <w:szCs w:val="21"/>
                <w:lang w:val="en-US" w:eastAsia="zh-CN"/>
              </w:rPr>
              <w:t>月</w:t>
            </w:r>
          </w:p>
        </w:tc>
        <w:tc>
          <w:tcPr>
            <w:tcW w:w="471" w:type="pct"/>
            <w:gridSpan w:val="2"/>
            <w:noWrap w:val="0"/>
            <w:tcMar>
              <w:left w:w="57" w:type="dxa"/>
              <w:right w:w="57" w:type="dxa"/>
            </w:tcMar>
            <w:vAlign w:val="center"/>
          </w:tcPr>
          <w:p w14:paraId="3540EE19">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排污许可证申领时间</w:t>
            </w:r>
          </w:p>
        </w:tc>
        <w:tc>
          <w:tcPr>
            <w:tcW w:w="1002" w:type="pct"/>
            <w:gridSpan w:val="4"/>
            <w:noWrap w:val="0"/>
            <w:tcMar>
              <w:left w:w="57" w:type="dxa"/>
              <w:right w:w="57" w:type="dxa"/>
            </w:tcMar>
            <w:vAlign w:val="center"/>
          </w:tcPr>
          <w:p w14:paraId="266A6D6E">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lang w:val="en-US" w:eastAsia="zh-CN"/>
              </w:rPr>
            </w:pPr>
          </w:p>
        </w:tc>
      </w:tr>
      <w:tr w14:paraId="1B0730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03" w:type="pct"/>
            <w:vMerge w:val="continue"/>
            <w:noWrap w:val="0"/>
            <w:tcMar>
              <w:left w:w="57" w:type="dxa"/>
              <w:right w:w="57" w:type="dxa"/>
            </w:tcMar>
            <w:vAlign w:val="center"/>
          </w:tcPr>
          <w:p w14:paraId="09BFFDC6">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p>
        </w:tc>
        <w:tc>
          <w:tcPr>
            <w:tcW w:w="564" w:type="pct"/>
            <w:gridSpan w:val="3"/>
            <w:noWrap w:val="0"/>
            <w:tcMar>
              <w:left w:w="57" w:type="dxa"/>
              <w:right w:w="57" w:type="dxa"/>
            </w:tcMar>
            <w:vAlign w:val="center"/>
          </w:tcPr>
          <w:p w14:paraId="422DF3F8">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环保设施设计单位</w:t>
            </w:r>
          </w:p>
        </w:tc>
        <w:tc>
          <w:tcPr>
            <w:tcW w:w="1572" w:type="pct"/>
            <w:gridSpan w:val="6"/>
            <w:noWrap w:val="0"/>
            <w:tcMar>
              <w:left w:w="57" w:type="dxa"/>
              <w:right w:w="57" w:type="dxa"/>
            </w:tcMar>
            <w:vAlign w:val="center"/>
          </w:tcPr>
          <w:p w14:paraId="054FC0EF">
            <w:pPr>
              <w:keepNext w:val="0"/>
              <w:keepLines w:val="0"/>
              <w:widowControl/>
              <w:suppressLineNumbers w:val="0"/>
              <w:jc w:val="center"/>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val="en-US" w:eastAsia="zh-CN"/>
              </w:rPr>
              <w:t>合肥市市政设计研究总院有限公司</w:t>
            </w:r>
          </w:p>
        </w:tc>
        <w:tc>
          <w:tcPr>
            <w:tcW w:w="653" w:type="pct"/>
            <w:gridSpan w:val="2"/>
            <w:noWrap w:val="0"/>
            <w:tcMar>
              <w:left w:w="57" w:type="dxa"/>
              <w:right w:w="57" w:type="dxa"/>
            </w:tcMar>
            <w:vAlign w:val="center"/>
          </w:tcPr>
          <w:p w14:paraId="6C9BEF21">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环保设施施工单位</w:t>
            </w:r>
          </w:p>
        </w:tc>
        <w:tc>
          <w:tcPr>
            <w:tcW w:w="630" w:type="pct"/>
            <w:noWrap w:val="0"/>
            <w:tcMar>
              <w:left w:w="57" w:type="dxa"/>
              <w:right w:w="57" w:type="dxa"/>
            </w:tcMar>
            <w:vAlign w:val="center"/>
          </w:tcPr>
          <w:p w14:paraId="734CE68F">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lang w:eastAsia="zh-CN"/>
              </w:rPr>
            </w:pPr>
          </w:p>
        </w:tc>
        <w:tc>
          <w:tcPr>
            <w:tcW w:w="471" w:type="pct"/>
            <w:gridSpan w:val="2"/>
            <w:noWrap w:val="0"/>
            <w:tcMar>
              <w:left w:w="57" w:type="dxa"/>
              <w:right w:w="57" w:type="dxa"/>
            </w:tcMar>
            <w:vAlign w:val="center"/>
          </w:tcPr>
          <w:p w14:paraId="010F3F45">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本工程排污许可证编号</w:t>
            </w:r>
          </w:p>
        </w:tc>
        <w:tc>
          <w:tcPr>
            <w:tcW w:w="1002" w:type="pct"/>
            <w:gridSpan w:val="4"/>
            <w:noWrap w:val="0"/>
            <w:tcMar>
              <w:left w:w="57" w:type="dxa"/>
              <w:right w:w="57" w:type="dxa"/>
            </w:tcMar>
            <w:vAlign w:val="center"/>
          </w:tcPr>
          <w:p w14:paraId="4FD75E37">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lang w:val="en-US" w:eastAsia="zh-CN"/>
              </w:rPr>
            </w:pPr>
          </w:p>
        </w:tc>
      </w:tr>
      <w:tr w14:paraId="116F52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62" w:hRule="exact"/>
          <w:jc w:val="center"/>
        </w:trPr>
        <w:tc>
          <w:tcPr>
            <w:tcW w:w="103" w:type="pct"/>
            <w:vMerge w:val="continue"/>
            <w:noWrap w:val="0"/>
            <w:tcMar>
              <w:left w:w="57" w:type="dxa"/>
              <w:right w:w="57" w:type="dxa"/>
            </w:tcMar>
            <w:vAlign w:val="center"/>
          </w:tcPr>
          <w:p w14:paraId="4EED3722">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p>
        </w:tc>
        <w:tc>
          <w:tcPr>
            <w:tcW w:w="564" w:type="pct"/>
            <w:gridSpan w:val="3"/>
            <w:noWrap w:val="0"/>
            <w:tcMar>
              <w:left w:w="57" w:type="dxa"/>
              <w:right w:w="57" w:type="dxa"/>
            </w:tcMar>
            <w:vAlign w:val="center"/>
          </w:tcPr>
          <w:p w14:paraId="398FA4ED">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验收单位</w:t>
            </w:r>
          </w:p>
        </w:tc>
        <w:tc>
          <w:tcPr>
            <w:tcW w:w="1572" w:type="pct"/>
            <w:gridSpan w:val="6"/>
            <w:noWrap w:val="0"/>
            <w:tcMar>
              <w:left w:w="57" w:type="dxa"/>
              <w:right w:w="57" w:type="dxa"/>
            </w:tcMar>
            <w:vAlign w:val="center"/>
          </w:tcPr>
          <w:p w14:paraId="6AA06CDB">
            <w:pPr>
              <w:keepNext w:val="0"/>
              <w:keepLines w:val="0"/>
              <w:widowControl/>
              <w:suppressLineNumbers w:val="0"/>
              <w:jc w:val="center"/>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val="en-US" w:eastAsia="zh-CN"/>
              </w:rPr>
              <w:t>和县三峡水环境综合治理有限责任公司</w:t>
            </w:r>
          </w:p>
        </w:tc>
        <w:tc>
          <w:tcPr>
            <w:tcW w:w="653" w:type="pct"/>
            <w:gridSpan w:val="2"/>
            <w:noWrap w:val="0"/>
            <w:tcMar>
              <w:left w:w="57" w:type="dxa"/>
              <w:right w:w="57" w:type="dxa"/>
            </w:tcMar>
            <w:vAlign w:val="center"/>
          </w:tcPr>
          <w:p w14:paraId="7CFB31E6">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环保设施监测单位</w:t>
            </w:r>
          </w:p>
        </w:tc>
        <w:tc>
          <w:tcPr>
            <w:tcW w:w="630" w:type="pct"/>
            <w:noWrap w:val="0"/>
            <w:tcMar>
              <w:left w:w="57" w:type="dxa"/>
              <w:right w:w="57" w:type="dxa"/>
            </w:tcMar>
            <w:vAlign w:val="center"/>
          </w:tcPr>
          <w:p w14:paraId="64AFC289">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lang w:eastAsia="zh-CN"/>
              </w:rPr>
              <w:t>安徽鑫程检</w:t>
            </w:r>
            <w:r>
              <w:rPr>
                <w:rFonts w:hint="eastAsia" w:ascii="宋体" w:hAnsi="宋体" w:eastAsia="宋体" w:cs="宋体"/>
                <w:b/>
                <w:bCs/>
                <w:spacing w:val="-2"/>
                <w:kern w:val="0"/>
                <w:sz w:val="21"/>
                <w:szCs w:val="21"/>
                <w:lang w:val="en-US" w:eastAsia="zh-CN"/>
              </w:rPr>
              <w:t>测科技有限公司</w:t>
            </w:r>
          </w:p>
        </w:tc>
        <w:tc>
          <w:tcPr>
            <w:tcW w:w="471" w:type="pct"/>
            <w:gridSpan w:val="2"/>
            <w:noWrap w:val="0"/>
            <w:tcMar>
              <w:left w:w="57" w:type="dxa"/>
              <w:right w:w="57" w:type="dxa"/>
            </w:tcMar>
            <w:vAlign w:val="center"/>
          </w:tcPr>
          <w:p w14:paraId="3A27E487">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验收监测时工况</w:t>
            </w:r>
          </w:p>
        </w:tc>
        <w:tc>
          <w:tcPr>
            <w:tcW w:w="1002" w:type="pct"/>
            <w:gridSpan w:val="4"/>
            <w:noWrap w:val="0"/>
            <w:tcMar>
              <w:left w:w="57" w:type="dxa"/>
              <w:right w:w="57" w:type="dxa"/>
            </w:tcMar>
            <w:vAlign w:val="center"/>
          </w:tcPr>
          <w:p w14:paraId="76598484">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验收期间项目主体工程调试工况稳定、环境保护设施运行正常</w:t>
            </w:r>
          </w:p>
        </w:tc>
      </w:tr>
      <w:tr w14:paraId="1D82AA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03" w:type="pct"/>
            <w:vMerge w:val="continue"/>
            <w:noWrap w:val="0"/>
            <w:tcMar>
              <w:left w:w="57" w:type="dxa"/>
              <w:right w:w="57" w:type="dxa"/>
            </w:tcMar>
            <w:vAlign w:val="center"/>
          </w:tcPr>
          <w:p w14:paraId="15587193">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p>
        </w:tc>
        <w:tc>
          <w:tcPr>
            <w:tcW w:w="564" w:type="pct"/>
            <w:gridSpan w:val="3"/>
            <w:noWrap w:val="0"/>
            <w:tcMar>
              <w:left w:w="57" w:type="dxa"/>
              <w:right w:w="57" w:type="dxa"/>
            </w:tcMar>
            <w:vAlign w:val="center"/>
          </w:tcPr>
          <w:p w14:paraId="31DCCBF1">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投资总概算（万元）</w:t>
            </w:r>
          </w:p>
        </w:tc>
        <w:tc>
          <w:tcPr>
            <w:tcW w:w="1572" w:type="pct"/>
            <w:gridSpan w:val="6"/>
            <w:noWrap w:val="0"/>
            <w:tcMar>
              <w:left w:w="57" w:type="dxa"/>
              <w:right w:w="57" w:type="dxa"/>
            </w:tcMar>
            <w:vAlign w:val="center"/>
          </w:tcPr>
          <w:p w14:paraId="1B146E12">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宋体" w:hAnsi="宋体" w:eastAsia="宋体" w:cs="宋体"/>
                <w:b/>
                <w:color w:val="000000"/>
                <w:sz w:val="21"/>
                <w:szCs w:val="21"/>
                <w:lang w:val="en-US" w:eastAsia="zh-CN"/>
              </w:rPr>
            </w:pPr>
            <w:r>
              <w:rPr>
                <w:rFonts w:hint="eastAsia" w:ascii="宋体" w:hAnsi="宋体" w:eastAsia="宋体" w:cs="宋体"/>
                <w:b/>
                <w:color w:val="000000"/>
                <w:sz w:val="21"/>
                <w:szCs w:val="21"/>
                <w:lang w:val="en-US" w:eastAsia="zh-CN"/>
              </w:rPr>
              <w:t>2419.39</w:t>
            </w:r>
          </w:p>
        </w:tc>
        <w:tc>
          <w:tcPr>
            <w:tcW w:w="653" w:type="pct"/>
            <w:gridSpan w:val="2"/>
            <w:noWrap w:val="0"/>
            <w:tcMar>
              <w:left w:w="57" w:type="dxa"/>
              <w:right w:w="57" w:type="dxa"/>
            </w:tcMar>
            <w:vAlign w:val="center"/>
          </w:tcPr>
          <w:p w14:paraId="25D5F05C">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环保投资总概算（万元）</w:t>
            </w:r>
          </w:p>
        </w:tc>
        <w:tc>
          <w:tcPr>
            <w:tcW w:w="630" w:type="pct"/>
            <w:shd w:val="clear" w:color="auto" w:fill="auto"/>
            <w:noWrap w:val="0"/>
            <w:tcMar>
              <w:left w:w="57" w:type="dxa"/>
              <w:right w:w="57" w:type="dxa"/>
            </w:tcMar>
            <w:vAlign w:val="center"/>
          </w:tcPr>
          <w:p w14:paraId="6EDECA4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宋体" w:hAnsi="宋体" w:eastAsia="宋体" w:cs="宋体"/>
                <w:b/>
                <w:color w:val="000000"/>
                <w:kern w:val="2"/>
                <w:sz w:val="21"/>
                <w:szCs w:val="21"/>
                <w:lang w:val="en-US" w:eastAsia="zh-CN" w:bidi="ar-SA"/>
              </w:rPr>
            </w:pPr>
            <w:r>
              <w:rPr>
                <w:rFonts w:hint="eastAsia" w:ascii="宋体" w:hAnsi="宋体" w:eastAsia="宋体" w:cs="宋体"/>
                <w:b/>
                <w:color w:val="000000"/>
                <w:sz w:val="21"/>
                <w:szCs w:val="21"/>
                <w:lang w:val="en-US" w:eastAsia="zh-CN"/>
              </w:rPr>
              <w:t>2419.39</w:t>
            </w:r>
          </w:p>
        </w:tc>
        <w:tc>
          <w:tcPr>
            <w:tcW w:w="471" w:type="pct"/>
            <w:gridSpan w:val="2"/>
            <w:noWrap w:val="0"/>
            <w:tcMar>
              <w:left w:w="57" w:type="dxa"/>
              <w:right w:w="57" w:type="dxa"/>
            </w:tcMar>
            <w:vAlign w:val="center"/>
          </w:tcPr>
          <w:p w14:paraId="16D69250">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所占比例（%）</w:t>
            </w:r>
          </w:p>
        </w:tc>
        <w:tc>
          <w:tcPr>
            <w:tcW w:w="1002" w:type="pct"/>
            <w:gridSpan w:val="4"/>
            <w:noWrap w:val="0"/>
            <w:tcMar>
              <w:left w:w="57" w:type="dxa"/>
              <w:right w:w="57" w:type="dxa"/>
            </w:tcMar>
            <w:vAlign w:val="center"/>
          </w:tcPr>
          <w:p w14:paraId="00CD4FF2">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宋体" w:hAnsi="宋体" w:eastAsia="宋体" w:cs="宋体"/>
                <w:b/>
                <w:color w:val="000000"/>
                <w:sz w:val="21"/>
                <w:szCs w:val="21"/>
                <w:lang w:val="en-US" w:eastAsia="zh-CN"/>
              </w:rPr>
            </w:pPr>
            <w:r>
              <w:rPr>
                <w:rFonts w:hint="eastAsia" w:ascii="宋体" w:hAnsi="宋体" w:cs="宋体"/>
                <w:b/>
                <w:color w:val="000000"/>
                <w:sz w:val="21"/>
                <w:szCs w:val="21"/>
                <w:lang w:val="en-US" w:eastAsia="zh-CN"/>
              </w:rPr>
              <w:t>100</w:t>
            </w:r>
          </w:p>
        </w:tc>
      </w:tr>
      <w:tr w14:paraId="22EB5D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03" w:type="pct"/>
            <w:vMerge w:val="continue"/>
            <w:noWrap w:val="0"/>
            <w:tcMar>
              <w:left w:w="57" w:type="dxa"/>
              <w:right w:w="57" w:type="dxa"/>
            </w:tcMar>
            <w:vAlign w:val="center"/>
          </w:tcPr>
          <w:p w14:paraId="70B0BDFE">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p>
        </w:tc>
        <w:tc>
          <w:tcPr>
            <w:tcW w:w="564" w:type="pct"/>
            <w:gridSpan w:val="3"/>
            <w:noWrap w:val="0"/>
            <w:tcMar>
              <w:left w:w="57" w:type="dxa"/>
              <w:right w:w="57" w:type="dxa"/>
            </w:tcMar>
            <w:vAlign w:val="center"/>
          </w:tcPr>
          <w:p w14:paraId="3BC83D97">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实际总投资</w:t>
            </w:r>
          </w:p>
        </w:tc>
        <w:tc>
          <w:tcPr>
            <w:tcW w:w="1572" w:type="pct"/>
            <w:gridSpan w:val="6"/>
            <w:noWrap w:val="0"/>
            <w:tcMar>
              <w:left w:w="57" w:type="dxa"/>
              <w:right w:w="57" w:type="dxa"/>
            </w:tcMar>
            <w:vAlign w:val="center"/>
          </w:tcPr>
          <w:p w14:paraId="32FE5DAA">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宋体" w:hAnsi="宋体" w:eastAsia="宋体" w:cs="宋体"/>
                <w:b/>
                <w:color w:val="000000"/>
                <w:sz w:val="21"/>
                <w:szCs w:val="21"/>
                <w:lang w:val="en-US" w:eastAsia="zh-CN"/>
              </w:rPr>
            </w:pPr>
            <w:r>
              <w:rPr>
                <w:rFonts w:hint="eastAsia" w:ascii="宋体" w:hAnsi="宋体" w:eastAsia="宋体" w:cs="宋体"/>
                <w:b/>
                <w:color w:val="000000"/>
                <w:sz w:val="21"/>
                <w:szCs w:val="21"/>
                <w:lang w:val="en-US" w:eastAsia="zh-CN"/>
              </w:rPr>
              <w:t>2712.32</w:t>
            </w:r>
          </w:p>
        </w:tc>
        <w:tc>
          <w:tcPr>
            <w:tcW w:w="653" w:type="pct"/>
            <w:gridSpan w:val="2"/>
            <w:noWrap w:val="0"/>
            <w:tcMar>
              <w:left w:w="57" w:type="dxa"/>
              <w:right w:w="57" w:type="dxa"/>
            </w:tcMar>
            <w:vAlign w:val="center"/>
          </w:tcPr>
          <w:p w14:paraId="58EE7EB4">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实际环保投资（万元）</w:t>
            </w:r>
          </w:p>
        </w:tc>
        <w:tc>
          <w:tcPr>
            <w:tcW w:w="630" w:type="pct"/>
            <w:shd w:val="clear" w:color="auto" w:fill="auto"/>
            <w:noWrap w:val="0"/>
            <w:tcMar>
              <w:left w:w="57" w:type="dxa"/>
              <w:right w:w="57" w:type="dxa"/>
            </w:tcMar>
            <w:vAlign w:val="center"/>
          </w:tcPr>
          <w:p w14:paraId="7CE3B39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宋体" w:hAnsi="宋体" w:eastAsia="宋体" w:cs="宋体"/>
                <w:b/>
                <w:color w:val="000000"/>
                <w:kern w:val="2"/>
                <w:sz w:val="21"/>
                <w:szCs w:val="21"/>
                <w:lang w:val="en-US" w:eastAsia="zh-CN" w:bidi="ar-SA"/>
              </w:rPr>
            </w:pPr>
            <w:r>
              <w:rPr>
                <w:rFonts w:hint="eastAsia" w:ascii="宋体" w:hAnsi="宋体" w:eastAsia="宋体" w:cs="宋体"/>
                <w:b/>
                <w:color w:val="000000"/>
                <w:sz w:val="21"/>
                <w:szCs w:val="21"/>
                <w:lang w:val="en-US" w:eastAsia="zh-CN"/>
              </w:rPr>
              <w:t>2712.32</w:t>
            </w:r>
          </w:p>
        </w:tc>
        <w:tc>
          <w:tcPr>
            <w:tcW w:w="471" w:type="pct"/>
            <w:gridSpan w:val="2"/>
            <w:noWrap w:val="0"/>
            <w:tcMar>
              <w:left w:w="57" w:type="dxa"/>
              <w:right w:w="57" w:type="dxa"/>
            </w:tcMar>
            <w:vAlign w:val="center"/>
          </w:tcPr>
          <w:p w14:paraId="0347366A">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所占比例（%）</w:t>
            </w:r>
          </w:p>
        </w:tc>
        <w:tc>
          <w:tcPr>
            <w:tcW w:w="1002" w:type="pct"/>
            <w:gridSpan w:val="4"/>
            <w:noWrap w:val="0"/>
            <w:tcMar>
              <w:left w:w="57" w:type="dxa"/>
              <w:right w:w="57" w:type="dxa"/>
            </w:tcMar>
            <w:vAlign w:val="center"/>
          </w:tcPr>
          <w:p w14:paraId="34090A9E">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宋体" w:hAnsi="宋体" w:eastAsia="宋体" w:cs="宋体"/>
                <w:b/>
                <w:color w:val="000000"/>
                <w:sz w:val="21"/>
                <w:szCs w:val="21"/>
                <w:lang w:val="en-US" w:eastAsia="zh-CN"/>
              </w:rPr>
            </w:pPr>
            <w:r>
              <w:rPr>
                <w:rFonts w:hint="eastAsia" w:ascii="宋体" w:hAnsi="宋体" w:cs="宋体"/>
                <w:b/>
                <w:color w:val="000000"/>
                <w:sz w:val="21"/>
                <w:szCs w:val="21"/>
                <w:lang w:val="en-US" w:eastAsia="zh-CN"/>
              </w:rPr>
              <w:t>100</w:t>
            </w:r>
          </w:p>
        </w:tc>
      </w:tr>
      <w:tr w14:paraId="62BAF1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03" w:type="pct"/>
            <w:vMerge w:val="continue"/>
            <w:noWrap w:val="0"/>
            <w:tcMar>
              <w:left w:w="57" w:type="dxa"/>
              <w:right w:w="57" w:type="dxa"/>
            </w:tcMar>
            <w:vAlign w:val="center"/>
          </w:tcPr>
          <w:p w14:paraId="601C0C99">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p>
        </w:tc>
        <w:tc>
          <w:tcPr>
            <w:tcW w:w="564" w:type="pct"/>
            <w:gridSpan w:val="3"/>
            <w:noWrap w:val="0"/>
            <w:tcMar>
              <w:left w:w="57" w:type="dxa"/>
              <w:right w:w="57" w:type="dxa"/>
            </w:tcMar>
            <w:vAlign w:val="center"/>
          </w:tcPr>
          <w:p w14:paraId="0D6E86DE">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废水治理（万元）</w:t>
            </w:r>
          </w:p>
        </w:tc>
        <w:tc>
          <w:tcPr>
            <w:tcW w:w="238" w:type="pct"/>
            <w:noWrap w:val="0"/>
            <w:tcMar>
              <w:left w:w="57" w:type="dxa"/>
              <w:right w:w="57" w:type="dxa"/>
            </w:tcMar>
            <w:vAlign w:val="center"/>
          </w:tcPr>
          <w:p w14:paraId="534A5E74">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宋体" w:hAnsi="宋体" w:eastAsia="宋体" w:cs="宋体"/>
                <w:b/>
                <w:color w:val="000000"/>
                <w:sz w:val="21"/>
                <w:szCs w:val="21"/>
                <w:lang w:val="en-US" w:eastAsia="zh-CN"/>
              </w:rPr>
            </w:pPr>
            <w:r>
              <w:rPr>
                <w:rFonts w:hint="eastAsia" w:ascii="宋体" w:hAnsi="宋体" w:cs="宋体"/>
                <w:b/>
                <w:color w:val="000000"/>
                <w:sz w:val="21"/>
                <w:szCs w:val="21"/>
                <w:lang w:val="en-US" w:eastAsia="zh-CN"/>
              </w:rPr>
              <w:t>2647.73</w:t>
            </w:r>
          </w:p>
        </w:tc>
        <w:tc>
          <w:tcPr>
            <w:tcW w:w="411" w:type="pct"/>
            <w:noWrap w:val="0"/>
            <w:tcMar>
              <w:left w:w="57" w:type="dxa"/>
              <w:right w:w="57" w:type="dxa"/>
            </w:tcMar>
            <w:vAlign w:val="center"/>
          </w:tcPr>
          <w:p w14:paraId="08491978">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废气治理（万元）</w:t>
            </w:r>
          </w:p>
        </w:tc>
        <w:tc>
          <w:tcPr>
            <w:tcW w:w="322" w:type="pct"/>
            <w:noWrap w:val="0"/>
            <w:tcMar>
              <w:left w:w="57" w:type="dxa"/>
              <w:right w:w="57" w:type="dxa"/>
            </w:tcMar>
            <w:vAlign w:val="center"/>
          </w:tcPr>
          <w:p w14:paraId="0CC0CCD8">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宋体" w:hAnsi="宋体" w:eastAsia="宋体" w:cs="宋体"/>
                <w:b/>
                <w:color w:val="000000"/>
                <w:sz w:val="21"/>
                <w:szCs w:val="21"/>
                <w:lang w:val="en-US" w:eastAsia="zh-CN"/>
              </w:rPr>
            </w:pPr>
            <w:r>
              <w:rPr>
                <w:rFonts w:hint="eastAsia" w:ascii="宋体" w:hAnsi="宋体" w:cs="宋体"/>
                <w:b/>
                <w:color w:val="000000"/>
                <w:sz w:val="21"/>
                <w:szCs w:val="21"/>
                <w:lang w:val="en-US" w:eastAsia="zh-CN"/>
              </w:rPr>
              <w:t>2</w:t>
            </w:r>
          </w:p>
        </w:tc>
        <w:tc>
          <w:tcPr>
            <w:tcW w:w="429" w:type="pct"/>
            <w:gridSpan w:val="2"/>
            <w:noWrap w:val="0"/>
            <w:tcMar>
              <w:left w:w="57" w:type="dxa"/>
              <w:right w:w="57" w:type="dxa"/>
            </w:tcMar>
            <w:vAlign w:val="center"/>
          </w:tcPr>
          <w:p w14:paraId="52D664FE">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噪声治理（万元）</w:t>
            </w:r>
          </w:p>
        </w:tc>
        <w:tc>
          <w:tcPr>
            <w:tcW w:w="170" w:type="pct"/>
            <w:noWrap w:val="0"/>
            <w:tcMar>
              <w:left w:w="57" w:type="dxa"/>
              <w:right w:w="57" w:type="dxa"/>
            </w:tcMar>
            <w:vAlign w:val="center"/>
          </w:tcPr>
          <w:p w14:paraId="28BAA48D">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宋体" w:hAnsi="宋体" w:eastAsia="宋体" w:cs="宋体"/>
                <w:b/>
                <w:color w:val="000000"/>
                <w:sz w:val="21"/>
                <w:szCs w:val="21"/>
                <w:lang w:val="en-US" w:eastAsia="zh-CN"/>
              </w:rPr>
            </w:pPr>
            <w:r>
              <w:rPr>
                <w:rFonts w:hint="eastAsia" w:ascii="宋体" w:hAnsi="宋体" w:cs="宋体"/>
                <w:b/>
                <w:color w:val="000000"/>
                <w:sz w:val="21"/>
                <w:szCs w:val="21"/>
                <w:lang w:val="en-US" w:eastAsia="zh-CN"/>
              </w:rPr>
              <w:t>35</w:t>
            </w:r>
          </w:p>
        </w:tc>
        <w:tc>
          <w:tcPr>
            <w:tcW w:w="653" w:type="pct"/>
            <w:gridSpan w:val="2"/>
            <w:noWrap w:val="0"/>
            <w:tcMar>
              <w:left w:w="57" w:type="dxa"/>
              <w:right w:w="57" w:type="dxa"/>
            </w:tcMar>
            <w:vAlign w:val="center"/>
          </w:tcPr>
          <w:p w14:paraId="2A67A01D">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固体废物治理（万元）</w:t>
            </w:r>
          </w:p>
        </w:tc>
        <w:tc>
          <w:tcPr>
            <w:tcW w:w="630" w:type="pct"/>
            <w:noWrap w:val="0"/>
            <w:tcMar>
              <w:left w:w="57" w:type="dxa"/>
              <w:right w:w="57" w:type="dxa"/>
            </w:tcMar>
            <w:vAlign w:val="center"/>
          </w:tcPr>
          <w:p w14:paraId="60A69706">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宋体" w:hAnsi="宋体" w:eastAsia="宋体" w:cs="宋体"/>
                <w:b/>
                <w:color w:val="000000"/>
                <w:sz w:val="21"/>
                <w:szCs w:val="21"/>
                <w:lang w:val="en-US" w:eastAsia="zh-CN"/>
              </w:rPr>
            </w:pPr>
            <w:r>
              <w:rPr>
                <w:rFonts w:hint="eastAsia" w:ascii="宋体" w:hAnsi="宋体" w:cs="宋体"/>
                <w:b/>
                <w:color w:val="000000"/>
                <w:sz w:val="21"/>
                <w:szCs w:val="21"/>
                <w:lang w:val="en-US" w:eastAsia="zh-CN"/>
              </w:rPr>
              <w:t>18.9</w:t>
            </w:r>
          </w:p>
        </w:tc>
        <w:tc>
          <w:tcPr>
            <w:tcW w:w="471" w:type="pct"/>
            <w:gridSpan w:val="2"/>
            <w:noWrap w:val="0"/>
            <w:tcMar>
              <w:left w:w="57" w:type="dxa"/>
              <w:right w:w="57" w:type="dxa"/>
            </w:tcMar>
            <w:vAlign w:val="center"/>
          </w:tcPr>
          <w:p w14:paraId="477DB5D0">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绿化及生态（万元）</w:t>
            </w:r>
          </w:p>
        </w:tc>
        <w:tc>
          <w:tcPr>
            <w:tcW w:w="160" w:type="pct"/>
            <w:noWrap w:val="0"/>
            <w:tcMar>
              <w:left w:w="57" w:type="dxa"/>
              <w:right w:w="57" w:type="dxa"/>
            </w:tcMar>
            <w:vAlign w:val="center"/>
          </w:tcPr>
          <w:p w14:paraId="4E0088BE">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val="en-US" w:eastAsia="zh-CN"/>
              </w:rPr>
              <w:t>/</w:t>
            </w:r>
          </w:p>
        </w:tc>
        <w:tc>
          <w:tcPr>
            <w:tcW w:w="339" w:type="pct"/>
            <w:gridSpan w:val="2"/>
            <w:noWrap w:val="0"/>
            <w:tcMar>
              <w:left w:w="57" w:type="dxa"/>
              <w:right w:w="57" w:type="dxa"/>
            </w:tcMar>
            <w:vAlign w:val="center"/>
          </w:tcPr>
          <w:p w14:paraId="47E0666C">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其他（万元）</w:t>
            </w:r>
          </w:p>
        </w:tc>
        <w:tc>
          <w:tcPr>
            <w:tcW w:w="502" w:type="pct"/>
            <w:noWrap w:val="0"/>
            <w:tcMar>
              <w:left w:w="57" w:type="dxa"/>
              <w:right w:w="57" w:type="dxa"/>
            </w:tcMar>
            <w:vAlign w:val="center"/>
          </w:tcPr>
          <w:p w14:paraId="53331B41">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宋体" w:hAnsi="宋体" w:eastAsia="宋体" w:cs="宋体"/>
                <w:b/>
                <w:color w:val="000000"/>
                <w:sz w:val="21"/>
                <w:szCs w:val="21"/>
                <w:lang w:val="en-US" w:eastAsia="zh-CN"/>
              </w:rPr>
            </w:pPr>
            <w:r>
              <w:rPr>
                <w:rFonts w:hint="eastAsia" w:ascii="宋体" w:hAnsi="宋体" w:cs="宋体"/>
                <w:b/>
                <w:color w:val="000000"/>
                <w:sz w:val="21"/>
                <w:szCs w:val="21"/>
                <w:lang w:val="en-US" w:eastAsia="zh-CN"/>
              </w:rPr>
              <w:t>9.5</w:t>
            </w:r>
          </w:p>
        </w:tc>
      </w:tr>
      <w:tr w14:paraId="7A2A0A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03" w:type="pct"/>
            <w:vMerge w:val="continue"/>
            <w:noWrap w:val="0"/>
            <w:tcMar>
              <w:left w:w="57" w:type="dxa"/>
              <w:right w:w="57" w:type="dxa"/>
            </w:tcMar>
            <w:vAlign w:val="center"/>
          </w:tcPr>
          <w:p w14:paraId="201B0F1E">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p>
        </w:tc>
        <w:tc>
          <w:tcPr>
            <w:tcW w:w="564" w:type="pct"/>
            <w:gridSpan w:val="3"/>
            <w:noWrap w:val="0"/>
            <w:tcMar>
              <w:left w:w="57" w:type="dxa"/>
              <w:right w:w="57" w:type="dxa"/>
            </w:tcMar>
            <w:vAlign w:val="center"/>
          </w:tcPr>
          <w:p w14:paraId="2B99A291">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新增废水处理设施能力</w:t>
            </w:r>
          </w:p>
        </w:tc>
        <w:tc>
          <w:tcPr>
            <w:tcW w:w="1572" w:type="pct"/>
            <w:gridSpan w:val="6"/>
            <w:noWrap w:val="0"/>
            <w:tcMar>
              <w:left w:w="57" w:type="dxa"/>
              <w:right w:w="57" w:type="dxa"/>
            </w:tcMar>
            <w:vAlign w:val="center"/>
          </w:tcPr>
          <w:p w14:paraId="2B8BA345">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sz w:val="21"/>
                <w:szCs w:val="21"/>
                <w:lang w:val="en-US" w:eastAsia="zh-CN"/>
              </w:rPr>
            </w:pPr>
            <w:r>
              <w:rPr>
                <w:rFonts w:hint="eastAsia" w:ascii="宋体" w:hAnsi="宋体" w:cs="宋体"/>
                <w:b/>
                <w:color w:val="000000"/>
                <w:sz w:val="21"/>
                <w:szCs w:val="21"/>
                <w:lang w:val="en-US" w:eastAsia="zh-CN"/>
              </w:rPr>
              <w:t>5000t/d</w:t>
            </w:r>
          </w:p>
        </w:tc>
        <w:tc>
          <w:tcPr>
            <w:tcW w:w="653" w:type="pct"/>
            <w:gridSpan w:val="2"/>
            <w:noWrap w:val="0"/>
            <w:tcMar>
              <w:left w:w="57" w:type="dxa"/>
              <w:right w:w="57" w:type="dxa"/>
            </w:tcMar>
            <w:vAlign w:val="center"/>
          </w:tcPr>
          <w:p w14:paraId="60F9F7C7">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新增废气处理设施能力</w:t>
            </w:r>
          </w:p>
        </w:tc>
        <w:tc>
          <w:tcPr>
            <w:tcW w:w="630" w:type="pct"/>
            <w:noWrap w:val="0"/>
            <w:tcMar>
              <w:left w:w="57" w:type="dxa"/>
              <w:right w:w="57" w:type="dxa"/>
            </w:tcMar>
            <w:vAlign w:val="center"/>
          </w:tcPr>
          <w:p w14:paraId="4D609C88">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宋体" w:hAnsi="宋体" w:eastAsia="宋体" w:cs="宋体"/>
                <w:b/>
                <w:color w:val="000000"/>
                <w:sz w:val="21"/>
                <w:szCs w:val="21"/>
                <w:lang w:val="en-US" w:eastAsia="zh-CN"/>
              </w:rPr>
            </w:pPr>
          </w:p>
        </w:tc>
        <w:tc>
          <w:tcPr>
            <w:tcW w:w="471" w:type="pct"/>
            <w:gridSpan w:val="2"/>
            <w:noWrap w:val="0"/>
            <w:tcMar>
              <w:left w:w="57" w:type="dxa"/>
              <w:right w:w="57" w:type="dxa"/>
            </w:tcMar>
            <w:vAlign w:val="center"/>
          </w:tcPr>
          <w:p w14:paraId="107FEE9D">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年平均工作时</w:t>
            </w:r>
          </w:p>
        </w:tc>
        <w:tc>
          <w:tcPr>
            <w:tcW w:w="1002" w:type="pct"/>
            <w:gridSpan w:val="4"/>
            <w:noWrap w:val="0"/>
            <w:tcMar>
              <w:left w:w="57" w:type="dxa"/>
              <w:right w:w="57" w:type="dxa"/>
            </w:tcMar>
            <w:vAlign w:val="center"/>
          </w:tcPr>
          <w:p w14:paraId="4405AEAB">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宋体" w:hAnsi="宋体" w:eastAsia="宋体" w:cs="宋体"/>
                <w:b/>
                <w:color w:val="000000"/>
                <w:sz w:val="21"/>
                <w:szCs w:val="21"/>
                <w:lang w:val="en-US" w:eastAsia="zh-CN"/>
              </w:rPr>
            </w:pPr>
            <w:r>
              <w:rPr>
                <w:rFonts w:hint="eastAsia" w:ascii="宋体" w:hAnsi="宋体" w:cs="宋体"/>
                <w:b/>
                <w:color w:val="000000"/>
                <w:sz w:val="21"/>
                <w:szCs w:val="21"/>
                <w:lang w:val="en-US" w:eastAsia="zh-CN"/>
              </w:rPr>
              <w:t>8760</w:t>
            </w:r>
          </w:p>
        </w:tc>
      </w:tr>
      <w:tr w14:paraId="268991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667" w:type="pct"/>
            <w:gridSpan w:val="4"/>
            <w:noWrap w:val="0"/>
            <w:tcMar>
              <w:left w:w="57" w:type="dxa"/>
              <w:right w:w="57" w:type="dxa"/>
            </w:tcMar>
            <w:vAlign w:val="center"/>
          </w:tcPr>
          <w:p w14:paraId="59108BD2">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运营单位</w:t>
            </w:r>
          </w:p>
        </w:tc>
        <w:tc>
          <w:tcPr>
            <w:tcW w:w="1265" w:type="pct"/>
            <w:gridSpan w:val="4"/>
            <w:noWrap w:val="0"/>
            <w:tcMar>
              <w:left w:w="57" w:type="dxa"/>
              <w:right w:w="57" w:type="dxa"/>
            </w:tcMar>
            <w:vAlign w:val="center"/>
          </w:tcPr>
          <w:p w14:paraId="20AF2F2F">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lang w:eastAsia="zh-CN"/>
              </w:rPr>
            </w:pPr>
          </w:p>
        </w:tc>
        <w:tc>
          <w:tcPr>
            <w:tcW w:w="961" w:type="pct"/>
            <w:gridSpan w:val="4"/>
            <w:noWrap w:val="0"/>
            <w:tcMar>
              <w:left w:w="57" w:type="dxa"/>
              <w:right w:w="57" w:type="dxa"/>
            </w:tcMar>
            <w:vAlign w:val="center"/>
          </w:tcPr>
          <w:p w14:paraId="773069F1">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运营单位社会统一信用代码（或组织机构代码）</w:t>
            </w:r>
          </w:p>
        </w:tc>
        <w:tc>
          <w:tcPr>
            <w:tcW w:w="630" w:type="pct"/>
            <w:noWrap w:val="0"/>
            <w:tcMar>
              <w:left w:w="57" w:type="dxa"/>
              <w:right w:w="57" w:type="dxa"/>
            </w:tcMar>
            <w:vAlign w:val="center"/>
          </w:tcPr>
          <w:p w14:paraId="2035E1A2">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宋体" w:hAnsi="宋体" w:eastAsia="宋体" w:cs="宋体"/>
                <w:b/>
                <w:color w:val="000000"/>
                <w:sz w:val="21"/>
                <w:szCs w:val="21"/>
                <w:lang w:val="en-US" w:eastAsia="zh-CN"/>
              </w:rPr>
            </w:pPr>
          </w:p>
        </w:tc>
        <w:tc>
          <w:tcPr>
            <w:tcW w:w="471" w:type="pct"/>
            <w:gridSpan w:val="2"/>
            <w:noWrap w:val="0"/>
            <w:tcMar>
              <w:left w:w="57" w:type="dxa"/>
              <w:right w:w="57" w:type="dxa"/>
            </w:tcMar>
            <w:vAlign w:val="center"/>
          </w:tcPr>
          <w:p w14:paraId="15C9F99F">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验收时间</w:t>
            </w:r>
          </w:p>
        </w:tc>
        <w:tc>
          <w:tcPr>
            <w:tcW w:w="1002" w:type="pct"/>
            <w:gridSpan w:val="4"/>
            <w:noWrap w:val="0"/>
            <w:tcMar>
              <w:left w:w="57" w:type="dxa"/>
              <w:right w:w="57" w:type="dxa"/>
            </w:tcMar>
            <w:vAlign w:val="center"/>
          </w:tcPr>
          <w:p w14:paraId="04E5B808">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20</w:t>
            </w:r>
            <w:r>
              <w:rPr>
                <w:rFonts w:hint="eastAsia" w:ascii="宋体" w:hAnsi="宋体" w:eastAsia="宋体" w:cs="宋体"/>
                <w:b/>
                <w:color w:val="000000"/>
                <w:sz w:val="21"/>
                <w:szCs w:val="21"/>
                <w:lang w:val="en-US" w:eastAsia="zh-CN"/>
              </w:rPr>
              <w:t>2</w:t>
            </w:r>
            <w:r>
              <w:rPr>
                <w:rFonts w:hint="eastAsia" w:ascii="宋体" w:hAnsi="宋体" w:cs="宋体"/>
                <w:b/>
                <w:color w:val="000000"/>
                <w:sz w:val="21"/>
                <w:szCs w:val="21"/>
                <w:lang w:val="en-US" w:eastAsia="zh-CN"/>
              </w:rPr>
              <w:t>4</w:t>
            </w:r>
            <w:r>
              <w:rPr>
                <w:rFonts w:hint="eastAsia" w:ascii="宋体" w:hAnsi="宋体" w:eastAsia="宋体" w:cs="宋体"/>
                <w:b/>
                <w:color w:val="000000"/>
                <w:sz w:val="21"/>
                <w:szCs w:val="21"/>
              </w:rPr>
              <w:t>年</w:t>
            </w:r>
            <w:r>
              <w:rPr>
                <w:rFonts w:hint="eastAsia" w:ascii="宋体" w:hAnsi="宋体" w:cs="宋体"/>
                <w:b/>
                <w:color w:val="000000"/>
                <w:sz w:val="21"/>
                <w:szCs w:val="21"/>
                <w:lang w:val="en-US" w:eastAsia="zh-CN"/>
              </w:rPr>
              <w:t>12</w:t>
            </w:r>
            <w:r>
              <w:rPr>
                <w:rFonts w:hint="eastAsia" w:ascii="宋体" w:hAnsi="宋体" w:eastAsia="宋体" w:cs="宋体"/>
                <w:b/>
                <w:color w:val="000000"/>
                <w:sz w:val="21"/>
                <w:szCs w:val="21"/>
              </w:rPr>
              <w:t>月-20</w:t>
            </w:r>
            <w:r>
              <w:rPr>
                <w:rFonts w:hint="eastAsia" w:ascii="宋体" w:hAnsi="宋体" w:eastAsia="宋体" w:cs="宋体"/>
                <w:b/>
                <w:color w:val="000000"/>
                <w:sz w:val="21"/>
                <w:szCs w:val="21"/>
                <w:lang w:val="en-US" w:eastAsia="zh-CN"/>
              </w:rPr>
              <w:t>2</w:t>
            </w:r>
            <w:r>
              <w:rPr>
                <w:rFonts w:hint="eastAsia" w:ascii="宋体" w:hAnsi="宋体" w:cs="宋体"/>
                <w:b/>
                <w:color w:val="000000"/>
                <w:sz w:val="21"/>
                <w:szCs w:val="21"/>
                <w:lang w:val="en-US" w:eastAsia="zh-CN"/>
              </w:rPr>
              <w:t>5</w:t>
            </w:r>
            <w:r>
              <w:rPr>
                <w:rFonts w:hint="eastAsia" w:ascii="宋体" w:hAnsi="宋体" w:eastAsia="宋体" w:cs="宋体"/>
                <w:b/>
                <w:color w:val="000000"/>
                <w:sz w:val="21"/>
                <w:szCs w:val="21"/>
              </w:rPr>
              <w:t>年</w:t>
            </w:r>
            <w:r>
              <w:rPr>
                <w:rFonts w:hint="eastAsia" w:ascii="宋体" w:hAnsi="宋体" w:cs="宋体"/>
                <w:b/>
                <w:color w:val="000000"/>
                <w:sz w:val="21"/>
                <w:szCs w:val="21"/>
                <w:lang w:val="en-US" w:eastAsia="zh-CN"/>
              </w:rPr>
              <w:t>3</w:t>
            </w:r>
            <w:r>
              <w:rPr>
                <w:rFonts w:hint="eastAsia" w:ascii="宋体" w:hAnsi="宋体" w:eastAsia="宋体" w:cs="宋体"/>
                <w:b/>
                <w:color w:val="000000"/>
                <w:sz w:val="21"/>
                <w:szCs w:val="21"/>
              </w:rPr>
              <w:t>月</w:t>
            </w:r>
          </w:p>
        </w:tc>
      </w:tr>
      <w:tr w14:paraId="2B3F87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6" w:hRule="exact"/>
          <w:jc w:val="center"/>
        </w:trPr>
        <w:tc>
          <w:tcPr>
            <w:tcW w:w="137" w:type="pct"/>
            <w:gridSpan w:val="2"/>
            <w:vMerge w:val="restart"/>
            <w:noWrap w:val="0"/>
            <w:tcMar>
              <w:left w:w="57" w:type="dxa"/>
              <w:right w:w="57" w:type="dxa"/>
            </w:tcMar>
            <w:vAlign w:val="center"/>
          </w:tcPr>
          <w:p w14:paraId="11FA594D">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污染</w:t>
            </w:r>
          </w:p>
          <w:p w14:paraId="34791689">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物排</w:t>
            </w:r>
          </w:p>
          <w:p w14:paraId="187E7C4D">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放达</w:t>
            </w:r>
          </w:p>
          <w:p w14:paraId="34B61A83">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标与</w:t>
            </w:r>
          </w:p>
          <w:p w14:paraId="16C4B48C">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总量</w:t>
            </w:r>
          </w:p>
          <w:p w14:paraId="2C81E44F">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控制（工</w:t>
            </w:r>
          </w:p>
          <w:p w14:paraId="56343EB6">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业建</w:t>
            </w:r>
          </w:p>
          <w:p w14:paraId="213F6C40">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设项</w:t>
            </w:r>
          </w:p>
          <w:p w14:paraId="6600409B">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目详填）</w:t>
            </w:r>
          </w:p>
        </w:tc>
        <w:tc>
          <w:tcPr>
            <w:tcW w:w="530" w:type="pct"/>
            <w:gridSpan w:val="2"/>
            <w:noWrap w:val="0"/>
            <w:tcMar>
              <w:left w:w="57" w:type="dxa"/>
              <w:right w:w="57" w:type="dxa"/>
            </w:tcMar>
            <w:vAlign w:val="center"/>
          </w:tcPr>
          <w:p w14:paraId="563D4C28">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污染物</w:t>
            </w:r>
          </w:p>
        </w:tc>
        <w:tc>
          <w:tcPr>
            <w:tcW w:w="238" w:type="pct"/>
            <w:noWrap w:val="0"/>
            <w:tcMar>
              <w:left w:w="57" w:type="dxa"/>
              <w:right w:w="57" w:type="dxa"/>
            </w:tcMar>
            <w:vAlign w:val="center"/>
          </w:tcPr>
          <w:p w14:paraId="0BD3C62B">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原有排</w:t>
            </w:r>
          </w:p>
          <w:p w14:paraId="70622C9A">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放量(1)</w:t>
            </w:r>
          </w:p>
        </w:tc>
        <w:tc>
          <w:tcPr>
            <w:tcW w:w="411" w:type="pct"/>
            <w:noWrap w:val="0"/>
            <w:tcMar>
              <w:left w:w="57" w:type="dxa"/>
              <w:right w:w="57" w:type="dxa"/>
            </w:tcMar>
            <w:vAlign w:val="center"/>
          </w:tcPr>
          <w:p w14:paraId="1B269548">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本期工程实际排放浓度(2)</w:t>
            </w:r>
          </w:p>
        </w:tc>
        <w:tc>
          <w:tcPr>
            <w:tcW w:w="322" w:type="pct"/>
            <w:noWrap w:val="0"/>
            <w:tcMar>
              <w:left w:w="57" w:type="dxa"/>
              <w:right w:w="57" w:type="dxa"/>
            </w:tcMar>
            <w:vAlign w:val="center"/>
          </w:tcPr>
          <w:p w14:paraId="678C3353">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本期工程允许排放浓度(3)</w:t>
            </w:r>
          </w:p>
        </w:tc>
        <w:tc>
          <w:tcPr>
            <w:tcW w:w="292" w:type="pct"/>
            <w:noWrap w:val="0"/>
            <w:tcMar>
              <w:left w:w="57" w:type="dxa"/>
              <w:right w:w="57" w:type="dxa"/>
            </w:tcMar>
            <w:vAlign w:val="center"/>
          </w:tcPr>
          <w:p w14:paraId="26620C6A">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本期工程产生量(4)</w:t>
            </w:r>
          </w:p>
        </w:tc>
        <w:tc>
          <w:tcPr>
            <w:tcW w:w="307" w:type="pct"/>
            <w:gridSpan w:val="2"/>
            <w:noWrap w:val="0"/>
            <w:tcMar>
              <w:left w:w="57" w:type="dxa"/>
              <w:right w:w="57" w:type="dxa"/>
            </w:tcMar>
            <w:vAlign w:val="center"/>
          </w:tcPr>
          <w:p w14:paraId="771BF023">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本期工程自身削减量(5)</w:t>
            </w:r>
          </w:p>
        </w:tc>
        <w:tc>
          <w:tcPr>
            <w:tcW w:w="335" w:type="pct"/>
            <w:noWrap w:val="0"/>
            <w:tcMar>
              <w:left w:w="57" w:type="dxa"/>
              <w:right w:w="57" w:type="dxa"/>
            </w:tcMar>
            <w:vAlign w:val="center"/>
          </w:tcPr>
          <w:p w14:paraId="44F9A255">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本期工程实际排放量(6)</w:t>
            </w:r>
          </w:p>
        </w:tc>
        <w:tc>
          <w:tcPr>
            <w:tcW w:w="318" w:type="pct"/>
            <w:noWrap w:val="0"/>
            <w:tcMar>
              <w:left w:w="57" w:type="dxa"/>
              <w:right w:w="57" w:type="dxa"/>
            </w:tcMar>
            <w:vAlign w:val="center"/>
          </w:tcPr>
          <w:p w14:paraId="6A45489D">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本期工程核定排放总量(7)</w:t>
            </w:r>
          </w:p>
        </w:tc>
        <w:tc>
          <w:tcPr>
            <w:tcW w:w="630" w:type="pct"/>
            <w:noWrap w:val="0"/>
            <w:tcMar>
              <w:left w:w="57" w:type="dxa"/>
              <w:right w:w="57" w:type="dxa"/>
            </w:tcMar>
            <w:vAlign w:val="center"/>
          </w:tcPr>
          <w:p w14:paraId="3CC964C4">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本期工程“以新带老”削减量(8)</w:t>
            </w:r>
          </w:p>
        </w:tc>
        <w:tc>
          <w:tcPr>
            <w:tcW w:w="276" w:type="pct"/>
            <w:noWrap w:val="0"/>
            <w:tcMar>
              <w:left w:w="57" w:type="dxa"/>
              <w:right w:w="57" w:type="dxa"/>
            </w:tcMar>
            <w:vAlign w:val="center"/>
          </w:tcPr>
          <w:p w14:paraId="2D3158D5">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全厂实际排放总量(9)</w:t>
            </w:r>
          </w:p>
        </w:tc>
        <w:tc>
          <w:tcPr>
            <w:tcW w:w="355" w:type="pct"/>
            <w:gridSpan w:val="2"/>
            <w:noWrap w:val="0"/>
            <w:tcMar>
              <w:left w:w="57" w:type="dxa"/>
              <w:right w:w="57" w:type="dxa"/>
            </w:tcMar>
            <w:vAlign w:val="center"/>
          </w:tcPr>
          <w:p w14:paraId="173AEB59">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全厂核定排放总量(10)</w:t>
            </w:r>
          </w:p>
        </w:tc>
        <w:tc>
          <w:tcPr>
            <w:tcW w:w="339" w:type="pct"/>
            <w:gridSpan w:val="2"/>
            <w:noWrap w:val="0"/>
            <w:tcMar>
              <w:left w:w="57" w:type="dxa"/>
              <w:right w:w="57" w:type="dxa"/>
            </w:tcMar>
            <w:vAlign w:val="center"/>
          </w:tcPr>
          <w:p w14:paraId="2BF21918">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区域平衡替代削减量(11)</w:t>
            </w:r>
          </w:p>
        </w:tc>
        <w:tc>
          <w:tcPr>
            <w:tcW w:w="502" w:type="pct"/>
            <w:noWrap w:val="0"/>
            <w:tcMar>
              <w:left w:w="57" w:type="dxa"/>
              <w:right w:w="57" w:type="dxa"/>
            </w:tcMar>
            <w:vAlign w:val="center"/>
          </w:tcPr>
          <w:p w14:paraId="50547F5D">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排放增减量(12)</w:t>
            </w:r>
          </w:p>
        </w:tc>
      </w:tr>
      <w:tr w14:paraId="01305D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37" w:type="pct"/>
            <w:gridSpan w:val="2"/>
            <w:vMerge w:val="continue"/>
            <w:noWrap w:val="0"/>
            <w:tcMar>
              <w:left w:w="57" w:type="dxa"/>
              <w:right w:w="57" w:type="dxa"/>
            </w:tcMar>
            <w:vAlign w:val="center"/>
          </w:tcPr>
          <w:p w14:paraId="72EC6D88">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p>
        </w:tc>
        <w:tc>
          <w:tcPr>
            <w:tcW w:w="530" w:type="pct"/>
            <w:gridSpan w:val="2"/>
            <w:noWrap w:val="0"/>
            <w:tcMar>
              <w:left w:w="57" w:type="dxa"/>
              <w:right w:w="57" w:type="dxa"/>
            </w:tcMar>
            <w:vAlign w:val="center"/>
          </w:tcPr>
          <w:p w14:paraId="64ECEA00">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废水</w:t>
            </w:r>
          </w:p>
        </w:tc>
        <w:tc>
          <w:tcPr>
            <w:tcW w:w="238" w:type="pct"/>
            <w:noWrap w:val="0"/>
            <w:tcMar>
              <w:left w:w="57" w:type="dxa"/>
              <w:right w:w="57" w:type="dxa"/>
            </w:tcMar>
            <w:vAlign w:val="center"/>
          </w:tcPr>
          <w:p w14:paraId="7F905195">
            <w:pPr>
              <w:pStyle w:val="34"/>
              <w:widowControl w:val="0"/>
              <w:spacing w:before="40" w:after="40"/>
              <w:rPr>
                <w:rFonts w:hint="default"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kern w:val="2"/>
                <w:sz w:val="21"/>
                <w:szCs w:val="21"/>
                <w:lang w:val="en-US" w:eastAsia="zh-CN" w:bidi="ar-SA"/>
              </w:rPr>
              <w:t>182.5</w:t>
            </w:r>
          </w:p>
        </w:tc>
        <w:tc>
          <w:tcPr>
            <w:tcW w:w="411" w:type="pct"/>
            <w:noWrap w:val="0"/>
            <w:tcMar>
              <w:left w:w="57" w:type="dxa"/>
              <w:right w:w="57" w:type="dxa"/>
            </w:tcMar>
            <w:vAlign w:val="center"/>
          </w:tcPr>
          <w:p w14:paraId="20A41EBB">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rPr>
            </w:pPr>
          </w:p>
        </w:tc>
        <w:tc>
          <w:tcPr>
            <w:tcW w:w="322" w:type="pct"/>
            <w:noWrap w:val="0"/>
            <w:tcMar>
              <w:left w:w="57" w:type="dxa"/>
              <w:right w:w="57" w:type="dxa"/>
            </w:tcMar>
            <w:vAlign w:val="center"/>
          </w:tcPr>
          <w:p w14:paraId="34FECA51">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292" w:type="pct"/>
            <w:noWrap w:val="0"/>
            <w:tcMar>
              <w:left w:w="57" w:type="dxa"/>
              <w:right w:w="57" w:type="dxa"/>
            </w:tcMar>
            <w:vAlign w:val="center"/>
          </w:tcPr>
          <w:p w14:paraId="13E1354D">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宋体" w:hAnsi="宋体" w:eastAsia="宋体" w:cs="宋体"/>
                <w:b w:val="0"/>
                <w:bCs/>
                <w:color w:val="000000"/>
                <w:sz w:val="21"/>
                <w:szCs w:val="21"/>
                <w:lang w:val="en-US"/>
              </w:rPr>
            </w:pPr>
            <w:r>
              <w:rPr>
                <w:rFonts w:hint="eastAsia" w:ascii="宋体" w:hAnsi="宋体" w:eastAsia="宋体" w:cs="宋体"/>
                <w:b w:val="0"/>
                <w:bCs/>
                <w:color w:val="000000"/>
                <w:kern w:val="2"/>
                <w:sz w:val="21"/>
                <w:szCs w:val="21"/>
                <w:lang w:val="en-US" w:eastAsia="zh-CN" w:bidi="ar-SA"/>
              </w:rPr>
              <w:t>182.5</w:t>
            </w:r>
          </w:p>
        </w:tc>
        <w:tc>
          <w:tcPr>
            <w:tcW w:w="307" w:type="pct"/>
            <w:gridSpan w:val="2"/>
            <w:noWrap w:val="0"/>
            <w:tcMar>
              <w:left w:w="57" w:type="dxa"/>
              <w:right w:w="57" w:type="dxa"/>
            </w:tcMar>
            <w:vAlign w:val="center"/>
          </w:tcPr>
          <w:p w14:paraId="7A9AA114">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cs="宋体"/>
                <w:b w:val="0"/>
                <w:bCs/>
                <w:color w:val="000000"/>
                <w:sz w:val="21"/>
                <w:szCs w:val="21"/>
                <w:lang w:val="en-US" w:eastAsia="zh-CN"/>
              </w:rPr>
              <w:t>0</w:t>
            </w:r>
          </w:p>
        </w:tc>
        <w:tc>
          <w:tcPr>
            <w:tcW w:w="335" w:type="pct"/>
            <w:noWrap w:val="0"/>
            <w:tcMar>
              <w:left w:w="57" w:type="dxa"/>
              <w:right w:w="57" w:type="dxa"/>
            </w:tcMar>
            <w:vAlign w:val="center"/>
          </w:tcPr>
          <w:p w14:paraId="1080C2CC">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kern w:val="2"/>
                <w:sz w:val="21"/>
                <w:szCs w:val="21"/>
                <w:lang w:val="en-US" w:eastAsia="zh-CN" w:bidi="ar-SA"/>
              </w:rPr>
              <w:t>182.5</w:t>
            </w:r>
          </w:p>
        </w:tc>
        <w:tc>
          <w:tcPr>
            <w:tcW w:w="318" w:type="pct"/>
            <w:noWrap w:val="0"/>
            <w:tcMar>
              <w:left w:w="57" w:type="dxa"/>
              <w:right w:w="57" w:type="dxa"/>
            </w:tcMar>
            <w:vAlign w:val="center"/>
          </w:tcPr>
          <w:p w14:paraId="010E8617">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0</w:t>
            </w:r>
          </w:p>
        </w:tc>
        <w:tc>
          <w:tcPr>
            <w:tcW w:w="630" w:type="pct"/>
            <w:noWrap w:val="0"/>
            <w:tcMar>
              <w:left w:w="57" w:type="dxa"/>
              <w:right w:w="57" w:type="dxa"/>
            </w:tcMar>
            <w:vAlign w:val="center"/>
          </w:tcPr>
          <w:p w14:paraId="1545659A">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0</w:t>
            </w:r>
          </w:p>
        </w:tc>
        <w:tc>
          <w:tcPr>
            <w:tcW w:w="276" w:type="pct"/>
            <w:noWrap w:val="0"/>
            <w:tcMar>
              <w:left w:w="57" w:type="dxa"/>
              <w:right w:w="57" w:type="dxa"/>
            </w:tcMar>
            <w:vAlign w:val="center"/>
          </w:tcPr>
          <w:p w14:paraId="43E0127C">
            <w:pPr>
              <w:pStyle w:val="34"/>
              <w:widowControl w:val="0"/>
              <w:spacing w:before="40" w:after="40"/>
              <w:rPr>
                <w:rFonts w:hint="default"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kern w:val="2"/>
                <w:sz w:val="21"/>
                <w:szCs w:val="21"/>
                <w:lang w:val="en-US" w:eastAsia="zh-CN" w:bidi="ar-SA"/>
              </w:rPr>
              <w:t>365</w:t>
            </w:r>
          </w:p>
        </w:tc>
        <w:tc>
          <w:tcPr>
            <w:tcW w:w="355" w:type="pct"/>
            <w:gridSpan w:val="2"/>
            <w:noWrap w:val="0"/>
            <w:tcMar>
              <w:left w:w="57" w:type="dxa"/>
              <w:right w:w="57" w:type="dxa"/>
            </w:tcMar>
            <w:vAlign w:val="center"/>
          </w:tcPr>
          <w:p w14:paraId="1E6A716B">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339" w:type="pct"/>
            <w:gridSpan w:val="2"/>
            <w:noWrap w:val="0"/>
            <w:tcMar>
              <w:left w:w="57" w:type="dxa"/>
              <w:right w:w="57" w:type="dxa"/>
            </w:tcMar>
            <w:vAlign w:val="center"/>
          </w:tcPr>
          <w:p w14:paraId="003E771A">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502" w:type="pct"/>
            <w:noWrap w:val="0"/>
            <w:tcMar>
              <w:left w:w="57" w:type="dxa"/>
              <w:right w:w="57" w:type="dxa"/>
            </w:tcMar>
            <w:vAlign w:val="center"/>
          </w:tcPr>
          <w:p w14:paraId="6C4603F1">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w:t>
            </w:r>
            <w:r>
              <w:rPr>
                <w:rFonts w:hint="eastAsia" w:ascii="宋体" w:hAnsi="宋体" w:eastAsia="宋体" w:cs="宋体"/>
                <w:b w:val="0"/>
                <w:bCs/>
                <w:color w:val="000000"/>
                <w:kern w:val="2"/>
                <w:sz w:val="21"/>
                <w:szCs w:val="21"/>
                <w:lang w:val="en-US" w:eastAsia="zh-CN" w:bidi="ar-SA"/>
              </w:rPr>
              <w:t>182.5</w:t>
            </w:r>
          </w:p>
        </w:tc>
      </w:tr>
      <w:tr w14:paraId="2F20F8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7" w:hRule="atLeast"/>
          <w:jc w:val="center"/>
        </w:trPr>
        <w:tc>
          <w:tcPr>
            <w:tcW w:w="137" w:type="pct"/>
            <w:gridSpan w:val="2"/>
            <w:vMerge w:val="continue"/>
            <w:noWrap w:val="0"/>
            <w:tcMar>
              <w:left w:w="57" w:type="dxa"/>
              <w:right w:w="57" w:type="dxa"/>
            </w:tcMar>
            <w:vAlign w:val="center"/>
          </w:tcPr>
          <w:p w14:paraId="1E23A165">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p>
        </w:tc>
        <w:tc>
          <w:tcPr>
            <w:tcW w:w="530" w:type="pct"/>
            <w:gridSpan w:val="2"/>
            <w:noWrap w:val="0"/>
            <w:tcMar>
              <w:left w:w="57" w:type="dxa"/>
              <w:right w:w="57" w:type="dxa"/>
            </w:tcMar>
            <w:vAlign w:val="center"/>
          </w:tcPr>
          <w:p w14:paraId="42B52371">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化学需氧量</w:t>
            </w:r>
          </w:p>
        </w:tc>
        <w:tc>
          <w:tcPr>
            <w:tcW w:w="238" w:type="pct"/>
            <w:noWrap w:val="0"/>
            <w:tcMar>
              <w:left w:w="57" w:type="dxa"/>
              <w:right w:w="57" w:type="dxa"/>
            </w:tcMar>
            <w:vAlign w:val="center"/>
          </w:tcPr>
          <w:p w14:paraId="236DB94A">
            <w:pPr>
              <w:pStyle w:val="34"/>
              <w:widowControl w:val="0"/>
              <w:spacing w:before="40" w:after="40"/>
              <w:rPr>
                <w:rFonts w:hint="default"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kern w:val="2"/>
                <w:sz w:val="21"/>
                <w:szCs w:val="21"/>
                <w:lang w:val="en-US" w:eastAsia="zh-CN" w:bidi="ar-SA"/>
              </w:rPr>
              <w:t>26.92</w:t>
            </w:r>
          </w:p>
        </w:tc>
        <w:tc>
          <w:tcPr>
            <w:tcW w:w="411" w:type="pct"/>
            <w:noWrap w:val="0"/>
            <w:tcMar>
              <w:left w:w="57" w:type="dxa"/>
              <w:right w:w="57" w:type="dxa"/>
            </w:tcMar>
            <w:vAlign w:val="center"/>
          </w:tcPr>
          <w:p w14:paraId="2BF95E9B">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rPr>
            </w:pPr>
          </w:p>
        </w:tc>
        <w:tc>
          <w:tcPr>
            <w:tcW w:w="322" w:type="pct"/>
            <w:noWrap w:val="0"/>
            <w:tcMar>
              <w:left w:w="57" w:type="dxa"/>
              <w:right w:w="57" w:type="dxa"/>
            </w:tcMar>
            <w:vAlign w:val="center"/>
          </w:tcPr>
          <w:p w14:paraId="03F6D2F9">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rPr>
            </w:pPr>
          </w:p>
        </w:tc>
        <w:tc>
          <w:tcPr>
            <w:tcW w:w="292" w:type="pct"/>
            <w:noWrap w:val="0"/>
            <w:tcMar>
              <w:left w:w="57" w:type="dxa"/>
              <w:right w:w="57" w:type="dxa"/>
            </w:tcMar>
            <w:vAlign w:val="center"/>
          </w:tcPr>
          <w:p w14:paraId="4695B125">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kern w:val="2"/>
                <w:sz w:val="21"/>
                <w:szCs w:val="21"/>
                <w:lang w:val="en-US" w:eastAsia="zh-CN" w:bidi="ar-SA"/>
              </w:rPr>
            </w:pPr>
          </w:p>
        </w:tc>
        <w:tc>
          <w:tcPr>
            <w:tcW w:w="307" w:type="pct"/>
            <w:gridSpan w:val="2"/>
            <w:noWrap w:val="0"/>
            <w:tcMar>
              <w:left w:w="57" w:type="dxa"/>
              <w:right w:w="57" w:type="dxa"/>
            </w:tcMar>
            <w:vAlign w:val="center"/>
          </w:tcPr>
          <w:p w14:paraId="78A32F73">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w:t>
            </w:r>
          </w:p>
        </w:tc>
        <w:tc>
          <w:tcPr>
            <w:tcW w:w="335" w:type="pct"/>
            <w:shd w:val="clear" w:color="auto" w:fill="auto"/>
            <w:noWrap w:val="0"/>
            <w:tcMar>
              <w:left w:w="57" w:type="dxa"/>
              <w:right w:w="57" w:type="dxa"/>
            </w:tcMar>
            <w:vAlign w:val="center"/>
          </w:tcPr>
          <w:p w14:paraId="2DC3497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kern w:val="2"/>
                <w:sz w:val="21"/>
                <w:szCs w:val="21"/>
                <w:lang w:val="en-US" w:eastAsia="zh-CN" w:bidi="ar-SA"/>
              </w:rPr>
              <w:t>78.293</w:t>
            </w:r>
          </w:p>
        </w:tc>
        <w:tc>
          <w:tcPr>
            <w:tcW w:w="318" w:type="pct"/>
            <w:noWrap w:val="0"/>
            <w:tcMar>
              <w:left w:w="57" w:type="dxa"/>
              <w:right w:w="57" w:type="dxa"/>
            </w:tcMar>
            <w:vAlign w:val="center"/>
          </w:tcPr>
          <w:p w14:paraId="4DC19CA1">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0</w:t>
            </w:r>
          </w:p>
        </w:tc>
        <w:tc>
          <w:tcPr>
            <w:tcW w:w="630" w:type="pct"/>
            <w:noWrap w:val="0"/>
            <w:tcMar>
              <w:left w:w="57" w:type="dxa"/>
              <w:right w:w="57" w:type="dxa"/>
            </w:tcMar>
            <w:vAlign w:val="center"/>
          </w:tcPr>
          <w:p w14:paraId="63C9285D">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0</w:t>
            </w:r>
          </w:p>
        </w:tc>
        <w:tc>
          <w:tcPr>
            <w:tcW w:w="276" w:type="pct"/>
            <w:noWrap w:val="0"/>
            <w:tcMar>
              <w:left w:w="57" w:type="dxa"/>
              <w:right w:w="57" w:type="dxa"/>
            </w:tcMar>
            <w:vAlign w:val="center"/>
          </w:tcPr>
          <w:p w14:paraId="4B9F7FB1">
            <w:pPr>
              <w:pStyle w:val="34"/>
              <w:widowControl w:val="0"/>
              <w:spacing w:before="40" w:after="40"/>
              <w:rPr>
                <w:rFonts w:hint="default"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kern w:val="2"/>
                <w:sz w:val="21"/>
                <w:szCs w:val="21"/>
                <w:lang w:val="en-US" w:eastAsia="zh-CN" w:bidi="ar-SA"/>
              </w:rPr>
              <w:t>105.213</w:t>
            </w:r>
          </w:p>
        </w:tc>
        <w:tc>
          <w:tcPr>
            <w:tcW w:w="355" w:type="pct"/>
            <w:gridSpan w:val="2"/>
            <w:noWrap w:val="0"/>
            <w:tcMar>
              <w:left w:w="57" w:type="dxa"/>
              <w:right w:w="57" w:type="dxa"/>
            </w:tcMar>
            <w:vAlign w:val="center"/>
          </w:tcPr>
          <w:p w14:paraId="2B78AA33">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339" w:type="pct"/>
            <w:gridSpan w:val="2"/>
            <w:noWrap w:val="0"/>
            <w:tcMar>
              <w:left w:w="57" w:type="dxa"/>
              <w:right w:w="57" w:type="dxa"/>
            </w:tcMar>
            <w:vAlign w:val="center"/>
          </w:tcPr>
          <w:p w14:paraId="022E1FD1">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502" w:type="pct"/>
            <w:shd w:val="clear" w:color="auto" w:fill="auto"/>
            <w:noWrap w:val="0"/>
            <w:tcMar>
              <w:left w:w="57" w:type="dxa"/>
              <w:right w:w="57" w:type="dxa"/>
            </w:tcMar>
            <w:vAlign w:val="center"/>
          </w:tcPr>
          <w:p w14:paraId="538A32A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kern w:val="2"/>
                <w:sz w:val="21"/>
                <w:szCs w:val="21"/>
                <w:lang w:val="en-US" w:eastAsia="zh-CN" w:bidi="ar-SA"/>
              </w:rPr>
              <w:t>+78.293</w:t>
            </w:r>
          </w:p>
        </w:tc>
      </w:tr>
      <w:tr w14:paraId="147A55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37" w:type="pct"/>
            <w:gridSpan w:val="2"/>
            <w:vMerge w:val="continue"/>
            <w:noWrap w:val="0"/>
            <w:tcMar>
              <w:left w:w="57" w:type="dxa"/>
              <w:right w:w="57" w:type="dxa"/>
            </w:tcMar>
            <w:vAlign w:val="center"/>
          </w:tcPr>
          <w:p w14:paraId="54D02348">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p>
        </w:tc>
        <w:tc>
          <w:tcPr>
            <w:tcW w:w="530" w:type="pct"/>
            <w:gridSpan w:val="2"/>
            <w:noWrap w:val="0"/>
            <w:tcMar>
              <w:left w:w="57" w:type="dxa"/>
              <w:right w:w="57" w:type="dxa"/>
            </w:tcMar>
            <w:vAlign w:val="center"/>
          </w:tcPr>
          <w:p w14:paraId="201A9C2D">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氨氮</w:t>
            </w:r>
          </w:p>
        </w:tc>
        <w:tc>
          <w:tcPr>
            <w:tcW w:w="238" w:type="pct"/>
            <w:noWrap w:val="0"/>
            <w:tcMar>
              <w:left w:w="57" w:type="dxa"/>
              <w:right w:w="57" w:type="dxa"/>
            </w:tcMar>
            <w:vAlign w:val="center"/>
          </w:tcPr>
          <w:p w14:paraId="6C6C776F">
            <w:pPr>
              <w:pStyle w:val="34"/>
              <w:widowControl w:val="0"/>
              <w:spacing w:before="40" w:after="40"/>
              <w:rPr>
                <w:rFonts w:hint="default"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kern w:val="2"/>
                <w:sz w:val="21"/>
                <w:szCs w:val="21"/>
                <w:lang w:val="en-US" w:eastAsia="zh-CN" w:bidi="ar-SA"/>
              </w:rPr>
              <w:t>0.094</w:t>
            </w:r>
          </w:p>
        </w:tc>
        <w:tc>
          <w:tcPr>
            <w:tcW w:w="411" w:type="pct"/>
            <w:noWrap w:val="0"/>
            <w:tcMar>
              <w:left w:w="57" w:type="dxa"/>
              <w:right w:w="57" w:type="dxa"/>
            </w:tcMar>
            <w:vAlign w:val="center"/>
          </w:tcPr>
          <w:p w14:paraId="5DE8FB89">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rPr>
            </w:pPr>
          </w:p>
        </w:tc>
        <w:tc>
          <w:tcPr>
            <w:tcW w:w="322" w:type="pct"/>
            <w:noWrap w:val="0"/>
            <w:tcMar>
              <w:left w:w="57" w:type="dxa"/>
              <w:right w:w="57" w:type="dxa"/>
            </w:tcMar>
            <w:vAlign w:val="center"/>
          </w:tcPr>
          <w:p w14:paraId="1CD0284F">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rPr>
            </w:pPr>
          </w:p>
        </w:tc>
        <w:tc>
          <w:tcPr>
            <w:tcW w:w="292" w:type="pct"/>
            <w:noWrap w:val="0"/>
            <w:tcMar>
              <w:left w:w="57" w:type="dxa"/>
              <w:right w:w="57" w:type="dxa"/>
            </w:tcMar>
            <w:vAlign w:val="center"/>
          </w:tcPr>
          <w:p w14:paraId="08CC8A48">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宋体" w:hAnsi="宋体" w:eastAsia="宋体" w:cs="宋体"/>
                <w:b w:val="0"/>
                <w:bCs/>
                <w:color w:val="000000"/>
                <w:kern w:val="2"/>
                <w:sz w:val="21"/>
                <w:szCs w:val="21"/>
                <w:lang w:val="en-US" w:eastAsia="zh-CN" w:bidi="ar-SA"/>
              </w:rPr>
            </w:pPr>
          </w:p>
        </w:tc>
        <w:tc>
          <w:tcPr>
            <w:tcW w:w="307" w:type="pct"/>
            <w:gridSpan w:val="2"/>
            <w:noWrap w:val="0"/>
            <w:tcMar>
              <w:left w:w="57" w:type="dxa"/>
              <w:right w:w="57" w:type="dxa"/>
            </w:tcMar>
            <w:vAlign w:val="center"/>
          </w:tcPr>
          <w:p w14:paraId="43DA7881">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w:t>
            </w:r>
          </w:p>
        </w:tc>
        <w:tc>
          <w:tcPr>
            <w:tcW w:w="335" w:type="pct"/>
            <w:shd w:val="clear" w:color="auto" w:fill="auto"/>
            <w:noWrap w:val="0"/>
            <w:tcMar>
              <w:left w:w="57" w:type="dxa"/>
              <w:right w:w="57" w:type="dxa"/>
            </w:tcMar>
            <w:vAlign w:val="center"/>
          </w:tcPr>
          <w:p w14:paraId="475D346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kern w:val="2"/>
                <w:sz w:val="21"/>
                <w:szCs w:val="21"/>
                <w:lang w:val="en-US" w:eastAsia="zh-CN" w:bidi="ar-SA"/>
              </w:rPr>
              <w:t>0.073</w:t>
            </w:r>
          </w:p>
        </w:tc>
        <w:tc>
          <w:tcPr>
            <w:tcW w:w="318" w:type="pct"/>
            <w:noWrap w:val="0"/>
            <w:tcMar>
              <w:left w:w="57" w:type="dxa"/>
              <w:right w:w="57" w:type="dxa"/>
            </w:tcMar>
            <w:vAlign w:val="center"/>
          </w:tcPr>
          <w:p w14:paraId="2E8DFF9D">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0</w:t>
            </w:r>
          </w:p>
        </w:tc>
        <w:tc>
          <w:tcPr>
            <w:tcW w:w="630" w:type="pct"/>
            <w:noWrap w:val="0"/>
            <w:tcMar>
              <w:left w:w="57" w:type="dxa"/>
              <w:right w:w="57" w:type="dxa"/>
            </w:tcMar>
            <w:vAlign w:val="center"/>
          </w:tcPr>
          <w:p w14:paraId="7F36B384">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0</w:t>
            </w:r>
          </w:p>
        </w:tc>
        <w:tc>
          <w:tcPr>
            <w:tcW w:w="276" w:type="pct"/>
            <w:noWrap w:val="0"/>
            <w:tcMar>
              <w:left w:w="57" w:type="dxa"/>
              <w:right w:w="57" w:type="dxa"/>
            </w:tcMar>
            <w:vAlign w:val="center"/>
          </w:tcPr>
          <w:p w14:paraId="6D5BF2DB">
            <w:pPr>
              <w:pStyle w:val="34"/>
              <w:widowControl w:val="0"/>
              <w:spacing w:before="40" w:after="40"/>
              <w:rPr>
                <w:rFonts w:hint="default"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kern w:val="2"/>
                <w:sz w:val="21"/>
                <w:szCs w:val="21"/>
                <w:lang w:val="en-US" w:eastAsia="zh-CN" w:bidi="ar-SA"/>
              </w:rPr>
              <w:t>0.167</w:t>
            </w:r>
          </w:p>
        </w:tc>
        <w:tc>
          <w:tcPr>
            <w:tcW w:w="355" w:type="pct"/>
            <w:gridSpan w:val="2"/>
            <w:noWrap w:val="0"/>
            <w:tcMar>
              <w:left w:w="57" w:type="dxa"/>
              <w:right w:w="57" w:type="dxa"/>
            </w:tcMar>
            <w:vAlign w:val="center"/>
          </w:tcPr>
          <w:p w14:paraId="1030526E">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339" w:type="pct"/>
            <w:gridSpan w:val="2"/>
            <w:noWrap w:val="0"/>
            <w:tcMar>
              <w:left w:w="57" w:type="dxa"/>
              <w:right w:w="57" w:type="dxa"/>
            </w:tcMar>
            <w:vAlign w:val="center"/>
          </w:tcPr>
          <w:p w14:paraId="3783B5C1">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502" w:type="pct"/>
            <w:shd w:val="clear" w:color="auto" w:fill="auto"/>
            <w:noWrap w:val="0"/>
            <w:tcMar>
              <w:left w:w="57" w:type="dxa"/>
              <w:right w:w="57" w:type="dxa"/>
            </w:tcMar>
            <w:vAlign w:val="center"/>
          </w:tcPr>
          <w:p w14:paraId="69F8815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kern w:val="2"/>
                <w:sz w:val="21"/>
                <w:szCs w:val="21"/>
                <w:lang w:val="en-US" w:eastAsia="zh-CN" w:bidi="ar-SA"/>
              </w:rPr>
              <w:t>+0.073</w:t>
            </w:r>
          </w:p>
        </w:tc>
      </w:tr>
      <w:tr w14:paraId="7DAA3C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137" w:type="pct"/>
            <w:gridSpan w:val="2"/>
            <w:vMerge w:val="continue"/>
            <w:noWrap w:val="0"/>
            <w:tcMar>
              <w:left w:w="57" w:type="dxa"/>
              <w:right w:w="57" w:type="dxa"/>
            </w:tcMar>
            <w:vAlign w:val="center"/>
          </w:tcPr>
          <w:p w14:paraId="117A9A11">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p>
        </w:tc>
        <w:tc>
          <w:tcPr>
            <w:tcW w:w="530" w:type="pct"/>
            <w:gridSpan w:val="2"/>
            <w:noWrap w:val="0"/>
            <w:tcMar>
              <w:left w:w="57" w:type="dxa"/>
              <w:right w:w="57" w:type="dxa"/>
            </w:tcMar>
            <w:vAlign w:val="center"/>
          </w:tcPr>
          <w:p w14:paraId="34137D67">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石油类</w:t>
            </w:r>
          </w:p>
        </w:tc>
        <w:tc>
          <w:tcPr>
            <w:tcW w:w="238" w:type="pct"/>
            <w:noWrap w:val="0"/>
            <w:tcMar>
              <w:left w:w="57" w:type="dxa"/>
              <w:right w:w="57" w:type="dxa"/>
            </w:tcMar>
            <w:vAlign w:val="center"/>
          </w:tcPr>
          <w:p w14:paraId="5C7CE758">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rPr>
            </w:pPr>
          </w:p>
        </w:tc>
        <w:tc>
          <w:tcPr>
            <w:tcW w:w="411" w:type="pct"/>
            <w:noWrap w:val="0"/>
            <w:tcMar>
              <w:left w:w="57" w:type="dxa"/>
              <w:right w:w="57" w:type="dxa"/>
            </w:tcMar>
            <w:vAlign w:val="center"/>
          </w:tcPr>
          <w:p w14:paraId="2B184612">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rPr>
            </w:pPr>
          </w:p>
        </w:tc>
        <w:tc>
          <w:tcPr>
            <w:tcW w:w="322" w:type="pct"/>
            <w:noWrap w:val="0"/>
            <w:tcMar>
              <w:left w:w="57" w:type="dxa"/>
              <w:right w:w="57" w:type="dxa"/>
            </w:tcMar>
            <w:vAlign w:val="center"/>
          </w:tcPr>
          <w:p w14:paraId="011ED8F3">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rPr>
            </w:pPr>
          </w:p>
        </w:tc>
        <w:tc>
          <w:tcPr>
            <w:tcW w:w="292" w:type="pct"/>
            <w:noWrap w:val="0"/>
            <w:tcMar>
              <w:left w:w="57" w:type="dxa"/>
              <w:right w:w="57" w:type="dxa"/>
            </w:tcMar>
            <w:vAlign w:val="center"/>
          </w:tcPr>
          <w:p w14:paraId="139D1A5E">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rPr>
            </w:pPr>
          </w:p>
        </w:tc>
        <w:tc>
          <w:tcPr>
            <w:tcW w:w="307" w:type="pct"/>
            <w:gridSpan w:val="2"/>
            <w:noWrap w:val="0"/>
            <w:tcMar>
              <w:left w:w="57" w:type="dxa"/>
              <w:right w:w="57" w:type="dxa"/>
            </w:tcMar>
            <w:vAlign w:val="center"/>
          </w:tcPr>
          <w:p w14:paraId="2ADE2B66">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335" w:type="pct"/>
            <w:noWrap w:val="0"/>
            <w:tcMar>
              <w:left w:w="57" w:type="dxa"/>
              <w:right w:w="57" w:type="dxa"/>
            </w:tcMar>
            <w:vAlign w:val="center"/>
          </w:tcPr>
          <w:p w14:paraId="3251C333">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318" w:type="pct"/>
            <w:noWrap w:val="0"/>
            <w:tcMar>
              <w:left w:w="57" w:type="dxa"/>
              <w:right w:w="57" w:type="dxa"/>
            </w:tcMar>
            <w:vAlign w:val="center"/>
          </w:tcPr>
          <w:p w14:paraId="607A99B6">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630" w:type="pct"/>
            <w:noWrap w:val="0"/>
            <w:tcMar>
              <w:left w:w="57" w:type="dxa"/>
              <w:right w:w="57" w:type="dxa"/>
            </w:tcMar>
            <w:vAlign w:val="center"/>
          </w:tcPr>
          <w:p w14:paraId="56486BB8">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276" w:type="pct"/>
            <w:noWrap w:val="0"/>
            <w:tcMar>
              <w:left w:w="57" w:type="dxa"/>
              <w:right w:w="57" w:type="dxa"/>
            </w:tcMar>
            <w:vAlign w:val="center"/>
          </w:tcPr>
          <w:p w14:paraId="7116C302">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355" w:type="pct"/>
            <w:gridSpan w:val="2"/>
            <w:noWrap w:val="0"/>
            <w:tcMar>
              <w:left w:w="57" w:type="dxa"/>
              <w:right w:w="57" w:type="dxa"/>
            </w:tcMar>
            <w:vAlign w:val="center"/>
          </w:tcPr>
          <w:p w14:paraId="2DFEF488">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339" w:type="pct"/>
            <w:gridSpan w:val="2"/>
            <w:noWrap w:val="0"/>
            <w:tcMar>
              <w:left w:w="57" w:type="dxa"/>
              <w:right w:w="57" w:type="dxa"/>
            </w:tcMar>
            <w:vAlign w:val="center"/>
          </w:tcPr>
          <w:p w14:paraId="4FC672E1">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502" w:type="pct"/>
            <w:noWrap w:val="0"/>
            <w:tcMar>
              <w:left w:w="57" w:type="dxa"/>
              <w:right w:w="57" w:type="dxa"/>
            </w:tcMar>
            <w:vAlign w:val="center"/>
          </w:tcPr>
          <w:p w14:paraId="284FB158">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r>
      <w:tr w14:paraId="3621F8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85" w:hRule="atLeast"/>
          <w:jc w:val="center"/>
        </w:trPr>
        <w:tc>
          <w:tcPr>
            <w:tcW w:w="137" w:type="pct"/>
            <w:gridSpan w:val="2"/>
            <w:vMerge w:val="continue"/>
            <w:noWrap w:val="0"/>
            <w:tcMar>
              <w:left w:w="57" w:type="dxa"/>
              <w:right w:w="57" w:type="dxa"/>
            </w:tcMar>
            <w:vAlign w:val="center"/>
          </w:tcPr>
          <w:p w14:paraId="38105F01">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p>
        </w:tc>
        <w:tc>
          <w:tcPr>
            <w:tcW w:w="530" w:type="pct"/>
            <w:gridSpan w:val="2"/>
            <w:noWrap w:val="0"/>
            <w:tcMar>
              <w:left w:w="57" w:type="dxa"/>
              <w:right w:w="57" w:type="dxa"/>
            </w:tcMar>
            <w:vAlign w:val="center"/>
          </w:tcPr>
          <w:p w14:paraId="76244BA8">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废气</w:t>
            </w:r>
          </w:p>
        </w:tc>
        <w:tc>
          <w:tcPr>
            <w:tcW w:w="238" w:type="pct"/>
            <w:noWrap w:val="0"/>
            <w:tcMar>
              <w:left w:w="57" w:type="dxa"/>
              <w:right w:w="57" w:type="dxa"/>
            </w:tcMar>
            <w:vAlign w:val="center"/>
          </w:tcPr>
          <w:p w14:paraId="48F65D7F">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411" w:type="pct"/>
            <w:noWrap w:val="0"/>
            <w:tcMar>
              <w:left w:w="57" w:type="dxa"/>
              <w:right w:w="57" w:type="dxa"/>
            </w:tcMar>
            <w:vAlign w:val="center"/>
          </w:tcPr>
          <w:p w14:paraId="75CFFDEF">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rPr>
            </w:pPr>
          </w:p>
        </w:tc>
        <w:tc>
          <w:tcPr>
            <w:tcW w:w="322" w:type="pct"/>
            <w:noWrap w:val="0"/>
            <w:tcMar>
              <w:left w:w="57" w:type="dxa"/>
              <w:right w:w="57" w:type="dxa"/>
            </w:tcMar>
            <w:vAlign w:val="center"/>
          </w:tcPr>
          <w:p w14:paraId="04C94DF1">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rPr>
            </w:pPr>
          </w:p>
        </w:tc>
        <w:tc>
          <w:tcPr>
            <w:tcW w:w="292" w:type="pct"/>
            <w:noWrap w:val="0"/>
            <w:tcMar>
              <w:left w:w="57" w:type="dxa"/>
              <w:right w:w="57" w:type="dxa"/>
            </w:tcMar>
            <w:vAlign w:val="center"/>
          </w:tcPr>
          <w:p w14:paraId="09C0054F">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307" w:type="pct"/>
            <w:gridSpan w:val="2"/>
            <w:noWrap w:val="0"/>
            <w:tcMar>
              <w:left w:w="57" w:type="dxa"/>
              <w:right w:w="57" w:type="dxa"/>
            </w:tcMar>
            <w:vAlign w:val="center"/>
          </w:tcPr>
          <w:p w14:paraId="54DDDB4E">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335" w:type="pct"/>
            <w:noWrap w:val="0"/>
            <w:tcMar>
              <w:left w:w="57" w:type="dxa"/>
              <w:right w:w="57" w:type="dxa"/>
            </w:tcMar>
            <w:vAlign w:val="center"/>
          </w:tcPr>
          <w:p w14:paraId="1A263BDB">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宋体" w:hAnsi="宋体" w:eastAsia="宋体" w:cs="宋体"/>
                <w:b w:val="0"/>
                <w:bCs/>
                <w:color w:val="000000"/>
                <w:sz w:val="21"/>
                <w:szCs w:val="21"/>
                <w:lang w:val="en-US" w:eastAsia="zh-CN"/>
              </w:rPr>
            </w:pPr>
          </w:p>
        </w:tc>
        <w:tc>
          <w:tcPr>
            <w:tcW w:w="318" w:type="pct"/>
            <w:noWrap w:val="0"/>
            <w:tcMar>
              <w:left w:w="57" w:type="dxa"/>
              <w:right w:w="57" w:type="dxa"/>
            </w:tcMar>
            <w:vAlign w:val="center"/>
          </w:tcPr>
          <w:p w14:paraId="4D0D1DD4">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630" w:type="pct"/>
            <w:noWrap w:val="0"/>
            <w:tcMar>
              <w:left w:w="57" w:type="dxa"/>
              <w:right w:w="57" w:type="dxa"/>
            </w:tcMar>
            <w:vAlign w:val="center"/>
          </w:tcPr>
          <w:p w14:paraId="15848218">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276" w:type="pct"/>
            <w:noWrap w:val="0"/>
            <w:tcMar>
              <w:left w:w="57" w:type="dxa"/>
              <w:right w:w="57" w:type="dxa"/>
            </w:tcMar>
            <w:vAlign w:val="center"/>
          </w:tcPr>
          <w:p w14:paraId="333E38B4">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宋体" w:hAnsi="宋体" w:eastAsia="宋体" w:cs="宋体"/>
                <w:b w:val="0"/>
                <w:bCs/>
                <w:color w:val="000000"/>
                <w:sz w:val="21"/>
                <w:szCs w:val="21"/>
                <w:lang w:val="en-US" w:eastAsia="zh-CN"/>
              </w:rPr>
            </w:pPr>
          </w:p>
        </w:tc>
        <w:tc>
          <w:tcPr>
            <w:tcW w:w="355" w:type="pct"/>
            <w:gridSpan w:val="2"/>
            <w:noWrap w:val="0"/>
            <w:tcMar>
              <w:left w:w="57" w:type="dxa"/>
              <w:right w:w="57" w:type="dxa"/>
            </w:tcMar>
            <w:vAlign w:val="center"/>
          </w:tcPr>
          <w:p w14:paraId="67AE38EB">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339" w:type="pct"/>
            <w:gridSpan w:val="2"/>
            <w:noWrap w:val="0"/>
            <w:tcMar>
              <w:left w:w="57" w:type="dxa"/>
              <w:right w:w="57" w:type="dxa"/>
            </w:tcMar>
            <w:vAlign w:val="center"/>
          </w:tcPr>
          <w:p w14:paraId="5BC6F2CB">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502" w:type="pct"/>
            <w:noWrap w:val="0"/>
            <w:tcMar>
              <w:left w:w="57" w:type="dxa"/>
              <w:right w:w="57" w:type="dxa"/>
            </w:tcMar>
            <w:vAlign w:val="center"/>
          </w:tcPr>
          <w:p w14:paraId="6CD01C8B">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r>
      <w:tr w14:paraId="36E526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37" w:type="pct"/>
            <w:gridSpan w:val="2"/>
            <w:vMerge w:val="continue"/>
            <w:noWrap w:val="0"/>
            <w:tcMar>
              <w:left w:w="57" w:type="dxa"/>
              <w:right w:w="57" w:type="dxa"/>
            </w:tcMar>
            <w:vAlign w:val="center"/>
          </w:tcPr>
          <w:p w14:paraId="2FA92B3C">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p>
        </w:tc>
        <w:tc>
          <w:tcPr>
            <w:tcW w:w="530" w:type="pct"/>
            <w:gridSpan w:val="2"/>
            <w:noWrap w:val="0"/>
            <w:tcMar>
              <w:left w:w="57" w:type="dxa"/>
              <w:right w:w="57" w:type="dxa"/>
            </w:tcMar>
            <w:vAlign w:val="center"/>
          </w:tcPr>
          <w:p w14:paraId="5C1FD3EC">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二氧化硫</w:t>
            </w:r>
          </w:p>
        </w:tc>
        <w:tc>
          <w:tcPr>
            <w:tcW w:w="238" w:type="pct"/>
            <w:noWrap w:val="0"/>
            <w:tcMar>
              <w:left w:w="57" w:type="dxa"/>
              <w:right w:w="57" w:type="dxa"/>
            </w:tcMar>
            <w:vAlign w:val="center"/>
          </w:tcPr>
          <w:p w14:paraId="592DE78E">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411" w:type="pct"/>
            <w:noWrap w:val="0"/>
            <w:tcMar>
              <w:left w:w="57" w:type="dxa"/>
              <w:right w:w="57" w:type="dxa"/>
            </w:tcMar>
            <w:vAlign w:val="center"/>
          </w:tcPr>
          <w:p w14:paraId="1486EC16">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rPr>
            </w:pPr>
          </w:p>
        </w:tc>
        <w:tc>
          <w:tcPr>
            <w:tcW w:w="322" w:type="pct"/>
            <w:noWrap w:val="0"/>
            <w:tcMar>
              <w:left w:w="57" w:type="dxa"/>
              <w:right w:w="57" w:type="dxa"/>
            </w:tcMar>
            <w:vAlign w:val="center"/>
          </w:tcPr>
          <w:p w14:paraId="546DAB16">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rPr>
            </w:pPr>
          </w:p>
        </w:tc>
        <w:tc>
          <w:tcPr>
            <w:tcW w:w="292" w:type="pct"/>
            <w:noWrap w:val="0"/>
            <w:tcMar>
              <w:left w:w="57" w:type="dxa"/>
              <w:right w:w="57" w:type="dxa"/>
            </w:tcMar>
            <w:vAlign w:val="center"/>
          </w:tcPr>
          <w:p w14:paraId="7E382B3E">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307" w:type="pct"/>
            <w:gridSpan w:val="2"/>
            <w:noWrap w:val="0"/>
            <w:tcMar>
              <w:left w:w="57" w:type="dxa"/>
              <w:right w:w="57" w:type="dxa"/>
            </w:tcMar>
            <w:vAlign w:val="center"/>
          </w:tcPr>
          <w:p w14:paraId="758E8F79">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335" w:type="pct"/>
            <w:noWrap w:val="0"/>
            <w:tcMar>
              <w:left w:w="57" w:type="dxa"/>
              <w:right w:w="57" w:type="dxa"/>
            </w:tcMar>
            <w:vAlign w:val="center"/>
          </w:tcPr>
          <w:p w14:paraId="34467FFE">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318" w:type="pct"/>
            <w:noWrap w:val="0"/>
            <w:tcMar>
              <w:left w:w="57" w:type="dxa"/>
              <w:right w:w="57" w:type="dxa"/>
            </w:tcMar>
            <w:vAlign w:val="center"/>
          </w:tcPr>
          <w:p w14:paraId="5879FB05">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630" w:type="pct"/>
            <w:noWrap w:val="0"/>
            <w:tcMar>
              <w:left w:w="57" w:type="dxa"/>
              <w:right w:w="57" w:type="dxa"/>
            </w:tcMar>
            <w:vAlign w:val="center"/>
          </w:tcPr>
          <w:p w14:paraId="312FDE6B">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276" w:type="pct"/>
            <w:noWrap w:val="0"/>
            <w:tcMar>
              <w:left w:w="57" w:type="dxa"/>
              <w:right w:w="57" w:type="dxa"/>
            </w:tcMar>
            <w:vAlign w:val="center"/>
          </w:tcPr>
          <w:p w14:paraId="113BA01B">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355" w:type="pct"/>
            <w:gridSpan w:val="2"/>
            <w:noWrap w:val="0"/>
            <w:tcMar>
              <w:left w:w="57" w:type="dxa"/>
              <w:right w:w="57" w:type="dxa"/>
            </w:tcMar>
            <w:vAlign w:val="center"/>
          </w:tcPr>
          <w:p w14:paraId="4D5CE444">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339" w:type="pct"/>
            <w:gridSpan w:val="2"/>
            <w:noWrap w:val="0"/>
            <w:tcMar>
              <w:left w:w="57" w:type="dxa"/>
              <w:right w:w="57" w:type="dxa"/>
            </w:tcMar>
            <w:vAlign w:val="center"/>
          </w:tcPr>
          <w:p w14:paraId="4D2F61CA">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502" w:type="pct"/>
            <w:noWrap w:val="0"/>
            <w:tcMar>
              <w:left w:w="57" w:type="dxa"/>
              <w:right w:w="57" w:type="dxa"/>
            </w:tcMar>
            <w:vAlign w:val="center"/>
          </w:tcPr>
          <w:p w14:paraId="0A8E381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color w:val="000000"/>
                <w:sz w:val="21"/>
                <w:szCs w:val="21"/>
                <w:lang w:val="en-US" w:eastAsia="zh-CN"/>
              </w:rPr>
            </w:pPr>
          </w:p>
        </w:tc>
      </w:tr>
      <w:tr w14:paraId="66BBBF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37" w:type="pct"/>
            <w:gridSpan w:val="2"/>
            <w:vMerge w:val="continue"/>
            <w:noWrap w:val="0"/>
            <w:tcMar>
              <w:left w:w="57" w:type="dxa"/>
              <w:right w:w="57" w:type="dxa"/>
            </w:tcMar>
            <w:vAlign w:val="center"/>
          </w:tcPr>
          <w:p w14:paraId="4F7A198C">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p>
        </w:tc>
        <w:tc>
          <w:tcPr>
            <w:tcW w:w="530" w:type="pct"/>
            <w:gridSpan w:val="2"/>
            <w:noWrap w:val="0"/>
            <w:tcMar>
              <w:left w:w="57" w:type="dxa"/>
              <w:right w:w="57" w:type="dxa"/>
            </w:tcMar>
            <w:vAlign w:val="center"/>
          </w:tcPr>
          <w:p w14:paraId="51692441">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烟尘</w:t>
            </w:r>
          </w:p>
        </w:tc>
        <w:tc>
          <w:tcPr>
            <w:tcW w:w="238" w:type="pct"/>
            <w:noWrap w:val="0"/>
            <w:tcMar>
              <w:left w:w="57" w:type="dxa"/>
              <w:right w:w="57" w:type="dxa"/>
            </w:tcMar>
            <w:vAlign w:val="center"/>
          </w:tcPr>
          <w:p w14:paraId="43CCA26D">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411" w:type="pct"/>
            <w:noWrap w:val="0"/>
            <w:tcMar>
              <w:left w:w="57" w:type="dxa"/>
              <w:right w:w="57" w:type="dxa"/>
            </w:tcMar>
            <w:vAlign w:val="center"/>
          </w:tcPr>
          <w:p w14:paraId="6B98D56A">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rPr>
            </w:pPr>
          </w:p>
        </w:tc>
        <w:tc>
          <w:tcPr>
            <w:tcW w:w="322" w:type="pct"/>
            <w:noWrap w:val="0"/>
            <w:tcMar>
              <w:left w:w="57" w:type="dxa"/>
              <w:right w:w="57" w:type="dxa"/>
            </w:tcMar>
            <w:vAlign w:val="center"/>
          </w:tcPr>
          <w:p w14:paraId="19A4CA17">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rPr>
            </w:pPr>
          </w:p>
        </w:tc>
        <w:tc>
          <w:tcPr>
            <w:tcW w:w="292" w:type="pct"/>
            <w:noWrap w:val="0"/>
            <w:tcMar>
              <w:left w:w="57" w:type="dxa"/>
              <w:right w:w="57" w:type="dxa"/>
            </w:tcMar>
            <w:vAlign w:val="center"/>
          </w:tcPr>
          <w:p w14:paraId="63305D98">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307" w:type="pct"/>
            <w:gridSpan w:val="2"/>
            <w:noWrap w:val="0"/>
            <w:tcMar>
              <w:left w:w="57" w:type="dxa"/>
              <w:right w:w="57" w:type="dxa"/>
            </w:tcMar>
            <w:vAlign w:val="center"/>
          </w:tcPr>
          <w:p w14:paraId="02012F41">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335" w:type="pct"/>
            <w:noWrap w:val="0"/>
            <w:tcMar>
              <w:left w:w="57" w:type="dxa"/>
              <w:right w:w="57" w:type="dxa"/>
            </w:tcMar>
            <w:vAlign w:val="center"/>
          </w:tcPr>
          <w:p w14:paraId="1F66D1E0">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318" w:type="pct"/>
            <w:noWrap w:val="0"/>
            <w:tcMar>
              <w:left w:w="57" w:type="dxa"/>
              <w:right w:w="57" w:type="dxa"/>
            </w:tcMar>
            <w:vAlign w:val="center"/>
          </w:tcPr>
          <w:p w14:paraId="26E1CC93">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630" w:type="pct"/>
            <w:noWrap w:val="0"/>
            <w:tcMar>
              <w:left w:w="57" w:type="dxa"/>
              <w:right w:w="57" w:type="dxa"/>
            </w:tcMar>
            <w:vAlign w:val="center"/>
          </w:tcPr>
          <w:p w14:paraId="5EE1D48F">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276" w:type="pct"/>
            <w:noWrap w:val="0"/>
            <w:tcMar>
              <w:left w:w="57" w:type="dxa"/>
              <w:right w:w="57" w:type="dxa"/>
            </w:tcMar>
            <w:vAlign w:val="center"/>
          </w:tcPr>
          <w:p w14:paraId="48B28BEF">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355" w:type="pct"/>
            <w:gridSpan w:val="2"/>
            <w:noWrap w:val="0"/>
            <w:tcMar>
              <w:left w:w="57" w:type="dxa"/>
              <w:right w:w="57" w:type="dxa"/>
            </w:tcMar>
            <w:vAlign w:val="center"/>
          </w:tcPr>
          <w:p w14:paraId="23C5F4E7">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339" w:type="pct"/>
            <w:gridSpan w:val="2"/>
            <w:noWrap w:val="0"/>
            <w:tcMar>
              <w:left w:w="57" w:type="dxa"/>
              <w:right w:w="57" w:type="dxa"/>
            </w:tcMar>
            <w:vAlign w:val="center"/>
          </w:tcPr>
          <w:p w14:paraId="64DED489">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502" w:type="pct"/>
            <w:noWrap w:val="0"/>
            <w:tcMar>
              <w:left w:w="57" w:type="dxa"/>
              <w:right w:w="57" w:type="dxa"/>
            </w:tcMar>
            <w:vAlign w:val="center"/>
          </w:tcPr>
          <w:p w14:paraId="6D0232A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color w:val="000000"/>
                <w:sz w:val="21"/>
                <w:szCs w:val="21"/>
                <w:lang w:val="en-US" w:eastAsia="zh-CN"/>
              </w:rPr>
            </w:pPr>
          </w:p>
        </w:tc>
      </w:tr>
      <w:tr w14:paraId="45FCB9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37" w:type="pct"/>
            <w:gridSpan w:val="2"/>
            <w:vMerge w:val="continue"/>
            <w:noWrap w:val="0"/>
            <w:tcMar>
              <w:left w:w="57" w:type="dxa"/>
              <w:right w:w="57" w:type="dxa"/>
            </w:tcMar>
            <w:vAlign w:val="center"/>
          </w:tcPr>
          <w:p w14:paraId="60EC7582">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p>
        </w:tc>
        <w:tc>
          <w:tcPr>
            <w:tcW w:w="530" w:type="pct"/>
            <w:gridSpan w:val="2"/>
            <w:noWrap w:val="0"/>
            <w:tcMar>
              <w:left w:w="57" w:type="dxa"/>
              <w:right w:w="57" w:type="dxa"/>
            </w:tcMar>
            <w:vAlign w:val="center"/>
          </w:tcPr>
          <w:p w14:paraId="1237DDA5">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工业粉尘</w:t>
            </w:r>
          </w:p>
        </w:tc>
        <w:tc>
          <w:tcPr>
            <w:tcW w:w="238" w:type="pct"/>
            <w:noWrap w:val="0"/>
            <w:tcMar>
              <w:left w:w="57" w:type="dxa"/>
              <w:right w:w="57" w:type="dxa"/>
            </w:tcMar>
            <w:vAlign w:val="center"/>
          </w:tcPr>
          <w:p w14:paraId="5ECC0057">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411" w:type="pct"/>
            <w:noWrap w:val="0"/>
            <w:tcMar>
              <w:left w:w="57" w:type="dxa"/>
              <w:right w:w="57" w:type="dxa"/>
            </w:tcMar>
            <w:vAlign w:val="center"/>
          </w:tcPr>
          <w:p w14:paraId="47ECD6E6">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rPr>
            </w:pPr>
          </w:p>
        </w:tc>
        <w:tc>
          <w:tcPr>
            <w:tcW w:w="322" w:type="pct"/>
            <w:noWrap w:val="0"/>
            <w:tcMar>
              <w:left w:w="57" w:type="dxa"/>
              <w:right w:w="57" w:type="dxa"/>
            </w:tcMar>
            <w:vAlign w:val="center"/>
          </w:tcPr>
          <w:p w14:paraId="6B8EF22A">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rPr>
            </w:pPr>
          </w:p>
        </w:tc>
        <w:tc>
          <w:tcPr>
            <w:tcW w:w="292" w:type="pct"/>
            <w:noWrap w:val="0"/>
            <w:tcMar>
              <w:left w:w="57" w:type="dxa"/>
              <w:right w:w="57" w:type="dxa"/>
            </w:tcMar>
            <w:vAlign w:val="center"/>
          </w:tcPr>
          <w:p w14:paraId="14614442">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307" w:type="pct"/>
            <w:gridSpan w:val="2"/>
            <w:noWrap w:val="0"/>
            <w:tcMar>
              <w:left w:w="57" w:type="dxa"/>
              <w:right w:w="57" w:type="dxa"/>
            </w:tcMar>
            <w:vAlign w:val="center"/>
          </w:tcPr>
          <w:p w14:paraId="0795E089">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335" w:type="pct"/>
            <w:noWrap w:val="0"/>
            <w:tcMar>
              <w:left w:w="57" w:type="dxa"/>
              <w:right w:w="57" w:type="dxa"/>
            </w:tcMar>
            <w:vAlign w:val="center"/>
          </w:tcPr>
          <w:p w14:paraId="27345669">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318" w:type="pct"/>
            <w:noWrap w:val="0"/>
            <w:tcMar>
              <w:left w:w="57" w:type="dxa"/>
              <w:right w:w="57" w:type="dxa"/>
            </w:tcMar>
            <w:vAlign w:val="center"/>
          </w:tcPr>
          <w:p w14:paraId="1CA8066A">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630" w:type="pct"/>
            <w:noWrap w:val="0"/>
            <w:tcMar>
              <w:left w:w="57" w:type="dxa"/>
              <w:right w:w="57" w:type="dxa"/>
            </w:tcMar>
            <w:vAlign w:val="center"/>
          </w:tcPr>
          <w:p w14:paraId="45361835">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276" w:type="pct"/>
            <w:noWrap w:val="0"/>
            <w:tcMar>
              <w:left w:w="57" w:type="dxa"/>
              <w:right w:w="57" w:type="dxa"/>
            </w:tcMar>
            <w:vAlign w:val="center"/>
          </w:tcPr>
          <w:p w14:paraId="3D7CEA99">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355" w:type="pct"/>
            <w:gridSpan w:val="2"/>
            <w:noWrap w:val="0"/>
            <w:tcMar>
              <w:left w:w="57" w:type="dxa"/>
              <w:right w:w="57" w:type="dxa"/>
            </w:tcMar>
            <w:vAlign w:val="center"/>
          </w:tcPr>
          <w:p w14:paraId="775AE2A4">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339" w:type="pct"/>
            <w:gridSpan w:val="2"/>
            <w:noWrap w:val="0"/>
            <w:tcMar>
              <w:left w:w="57" w:type="dxa"/>
              <w:right w:w="57" w:type="dxa"/>
            </w:tcMar>
            <w:vAlign w:val="center"/>
          </w:tcPr>
          <w:p w14:paraId="4677C9CB">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502" w:type="pct"/>
            <w:noWrap w:val="0"/>
            <w:tcMar>
              <w:left w:w="57" w:type="dxa"/>
              <w:right w:w="57" w:type="dxa"/>
            </w:tcMar>
            <w:vAlign w:val="center"/>
          </w:tcPr>
          <w:p w14:paraId="19C1F6A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color w:val="000000"/>
                <w:sz w:val="21"/>
                <w:szCs w:val="21"/>
                <w:lang w:val="en-US" w:eastAsia="zh-CN"/>
              </w:rPr>
            </w:pPr>
          </w:p>
        </w:tc>
      </w:tr>
      <w:tr w14:paraId="766104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0" w:hRule="atLeast"/>
          <w:jc w:val="center"/>
        </w:trPr>
        <w:tc>
          <w:tcPr>
            <w:tcW w:w="137" w:type="pct"/>
            <w:gridSpan w:val="2"/>
            <w:vMerge w:val="continue"/>
            <w:noWrap w:val="0"/>
            <w:tcMar>
              <w:left w:w="57" w:type="dxa"/>
              <w:right w:w="57" w:type="dxa"/>
            </w:tcMar>
            <w:vAlign w:val="center"/>
          </w:tcPr>
          <w:p w14:paraId="06D59294">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p>
        </w:tc>
        <w:tc>
          <w:tcPr>
            <w:tcW w:w="530" w:type="pct"/>
            <w:gridSpan w:val="2"/>
            <w:noWrap w:val="0"/>
            <w:tcMar>
              <w:left w:w="57" w:type="dxa"/>
              <w:right w:w="57" w:type="dxa"/>
            </w:tcMar>
            <w:vAlign w:val="center"/>
          </w:tcPr>
          <w:p w14:paraId="01B70DA9">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氮氧化物</w:t>
            </w:r>
          </w:p>
        </w:tc>
        <w:tc>
          <w:tcPr>
            <w:tcW w:w="238" w:type="pct"/>
            <w:noWrap w:val="0"/>
            <w:tcMar>
              <w:left w:w="57" w:type="dxa"/>
              <w:right w:w="57" w:type="dxa"/>
            </w:tcMar>
            <w:vAlign w:val="center"/>
          </w:tcPr>
          <w:p w14:paraId="292131E7">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rPr>
            </w:pPr>
          </w:p>
        </w:tc>
        <w:tc>
          <w:tcPr>
            <w:tcW w:w="411" w:type="pct"/>
            <w:noWrap w:val="0"/>
            <w:tcMar>
              <w:left w:w="57" w:type="dxa"/>
              <w:right w:w="57" w:type="dxa"/>
            </w:tcMar>
            <w:vAlign w:val="center"/>
          </w:tcPr>
          <w:p w14:paraId="54BF8046">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rPr>
            </w:pPr>
          </w:p>
        </w:tc>
        <w:tc>
          <w:tcPr>
            <w:tcW w:w="322" w:type="pct"/>
            <w:noWrap w:val="0"/>
            <w:tcMar>
              <w:left w:w="57" w:type="dxa"/>
              <w:right w:w="57" w:type="dxa"/>
            </w:tcMar>
            <w:vAlign w:val="center"/>
          </w:tcPr>
          <w:p w14:paraId="34FD3DF7">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rPr>
            </w:pPr>
          </w:p>
        </w:tc>
        <w:tc>
          <w:tcPr>
            <w:tcW w:w="292" w:type="pct"/>
            <w:noWrap w:val="0"/>
            <w:tcMar>
              <w:left w:w="57" w:type="dxa"/>
              <w:right w:w="57" w:type="dxa"/>
            </w:tcMar>
            <w:vAlign w:val="center"/>
          </w:tcPr>
          <w:p w14:paraId="08C63241">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rPr>
            </w:pPr>
          </w:p>
        </w:tc>
        <w:tc>
          <w:tcPr>
            <w:tcW w:w="307" w:type="pct"/>
            <w:gridSpan w:val="2"/>
            <w:noWrap w:val="0"/>
            <w:tcMar>
              <w:left w:w="57" w:type="dxa"/>
              <w:right w:w="57" w:type="dxa"/>
            </w:tcMar>
            <w:vAlign w:val="center"/>
          </w:tcPr>
          <w:p w14:paraId="626780ED">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335" w:type="pct"/>
            <w:noWrap w:val="0"/>
            <w:tcMar>
              <w:left w:w="57" w:type="dxa"/>
              <w:right w:w="57" w:type="dxa"/>
            </w:tcMar>
            <w:vAlign w:val="center"/>
          </w:tcPr>
          <w:p w14:paraId="6DC5A3C1">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318" w:type="pct"/>
            <w:noWrap w:val="0"/>
            <w:tcMar>
              <w:left w:w="57" w:type="dxa"/>
              <w:right w:w="57" w:type="dxa"/>
            </w:tcMar>
            <w:vAlign w:val="center"/>
          </w:tcPr>
          <w:p w14:paraId="60239622">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630" w:type="pct"/>
            <w:noWrap w:val="0"/>
            <w:tcMar>
              <w:left w:w="57" w:type="dxa"/>
              <w:right w:w="57" w:type="dxa"/>
            </w:tcMar>
            <w:vAlign w:val="center"/>
          </w:tcPr>
          <w:p w14:paraId="320D7C84">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276" w:type="pct"/>
            <w:noWrap w:val="0"/>
            <w:tcMar>
              <w:left w:w="57" w:type="dxa"/>
              <w:right w:w="57" w:type="dxa"/>
            </w:tcMar>
            <w:vAlign w:val="center"/>
          </w:tcPr>
          <w:p w14:paraId="512AF083">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355" w:type="pct"/>
            <w:gridSpan w:val="2"/>
            <w:noWrap w:val="0"/>
            <w:tcMar>
              <w:left w:w="57" w:type="dxa"/>
              <w:right w:w="57" w:type="dxa"/>
            </w:tcMar>
            <w:vAlign w:val="center"/>
          </w:tcPr>
          <w:p w14:paraId="02FFD6C2">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339" w:type="pct"/>
            <w:gridSpan w:val="2"/>
            <w:noWrap w:val="0"/>
            <w:tcMar>
              <w:left w:w="57" w:type="dxa"/>
              <w:right w:w="57" w:type="dxa"/>
            </w:tcMar>
            <w:vAlign w:val="center"/>
          </w:tcPr>
          <w:p w14:paraId="03705F9B">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502" w:type="pct"/>
            <w:noWrap w:val="0"/>
            <w:tcMar>
              <w:left w:w="57" w:type="dxa"/>
              <w:right w:w="57" w:type="dxa"/>
            </w:tcMar>
            <w:vAlign w:val="center"/>
          </w:tcPr>
          <w:p w14:paraId="7A8D82B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color w:val="000000"/>
                <w:sz w:val="21"/>
                <w:szCs w:val="21"/>
                <w:lang w:val="en-US" w:eastAsia="zh-CN"/>
              </w:rPr>
            </w:pPr>
          </w:p>
        </w:tc>
      </w:tr>
      <w:tr w14:paraId="043E7F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37" w:type="pct"/>
            <w:gridSpan w:val="2"/>
            <w:vMerge w:val="continue"/>
            <w:noWrap w:val="0"/>
            <w:tcMar>
              <w:left w:w="57" w:type="dxa"/>
              <w:right w:w="57" w:type="dxa"/>
            </w:tcMar>
            <w:vAlign w:val="center"/>
          </w:tcPr>
          <w:p w14:paraId="473CA624">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p>
        </w:tc>
        <w:tc>
          <w:tcPr>
            <w:tcW w:w="530" w:type="pct"/>
            <w:gridSpan w:val="2"/>
            <w:noWrap w:val="0"/>
            <w:tcMar>
              <w:left w:w="57" w:type="dxa"/>
              <w:right w:w="57" w:type="dxa"/>
            </w:tcMar>
            <w:vAlign w:val="center"/>
          </w:tcPr>
          <w:p w14:paraId="0C225B51">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工业固体废物</w:t>
            </w:r>
          </w:p>
        </w:tc>
        <w:tc>
          <w:tcPr>
            <w:tcW w:w="238" w:type="pct"/>
            <w:noWrap w:val="0"/>
            <w:tcMar>
              <w:left w:w="57" w:type="dxa"/>
              <w:right w:w="57" w:type="dxa"/>
            </w:tcMar>
            <w:vAlign w:val="center"/>
          </w:tcPr>
          <w:p w14:paraId="0BA3A4DD">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kern w:val="2"/>
                <w:sz w:val="21"/>
                <w:szCs w:val="21"/>
                <w:lang w:val="en-US" w:eastAsia="zh-CN" w:bidi="ar-SA"/>
              </w:rPr>
            </w:pPr>
          </w:p>
        </w:tc>
        <w:tc>
          <w:tcPr>
            <w:tcW w:w="411" w:type="pct"/>
            <w:noWrap w:val="0"/>
            <w:tcMar>
              <w:left w:w="57" w:type="dxa"/>
              <w:right w:w="57" w:type="dxa"/>
            </w:tcMar>
            <w:vAlign w:val="center"/>
          </w:tcPr>
          <w:p w14:paraId="70B975E2">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kern w:val="2"/>
                <w:sz w:val="21"/>
                <w:szCs w:val="21"/>
                <w:lang w:val="en-US" w:eastAsia="zh-CN" w:bidi="ar-SA"/>
              </w:rPr>
            </w:pPr>
          </w:p>
        </w:tc>
        <w:tc>
          <w:tcPr>
            <w:tcW w:w="322" w:type="pct"/>
            <w:noWrap w:val="0"/>
            <w:tcMar>
              <w:left w:w="57" w:type="dxa"/>
              <w:right w:w="57" w:type="dxa"/>
            </w:tcMar>
            <w:vAlign w:val="center"/>
          </w:tcPr>
          <w:p w14:paraId="60F6A893">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kern w:val="2"/>
                <w:sz w:val="21"/>
                <w:szCs w:val="21"/>
                <w:lang w:val="en-US" w:eastAsia="zh-CN" w:bidi="ar-SA"/>
              </w:rPr>
            </w:pPr>
          </w:p>
        </w:tc>
        <w:tc>
          <w:tcPr>
            <w:tcW w:w="292" w:type="pct"/>
            <w:noWrap w:val="0"/>
            <w:tcMar>
              <w:left w:w="57" w:type="dxa"/>
              <w:right w:w="57" w:type="dxa"/>
            </w:tcMar>
            <w:vAlign w:val="center"/>
          </w:tcPr>
          <w:p w14:paraId="45D5994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color w:val="000000"/>
                <w:kern w:val="2"/>
                <w:sz w:val="21"/>
                <w:szCs w:val="21"/>
                <w:lang w:val="en-US" w:eastAsia="zh-CN" w:bidi="ar-SA"/>
              </w:rPr>
            </w:pPr>
          </w:p>
        </w:tc>
        <w:tc>
          <w:tcPr>
            <w:tcW w:w="307" w:type="pct"/>
            <w:gridSpan w:val="2"/>
            <w:noWrap w:val="0"/>
            <w:tcMar>
              <w:left w:w="57" w:type="dxa"/>
              <w:right w:w="57" w:type="dxa"/>
            </w:tcMar>
            <w:vAlign w:val="center"/>
          </w:tcPr>
          <w:p w14:paraId="5F6FC92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color w:val="000000"/>
                <w:kern w:val="2"/>
                <w:sz w:val="21"/>
                <w:szCs w:val="21"/>
                <w:lang w:val="en-US" w:eastAsia="zh-CN" w:bidi="ar-SA"/>
              </w:rPr>
            </w:pPr>
          </w:p>
        </w:tc>
        <w:tc>
          <w:tcPr>
            <w:tcW w:w="335" w:type="pct"/>
            <w:noWrap w:val="0"/>
            <w:tcMar>
              <w:left w:w="57" w:type="dxa"/>
              <w:right w:w="57" w:type="dxa"/>
            </w:tcMar>
            <w:vAlign w:val="center"/>
          </w:tcPr>
          <w:p w14:paraId="11B4DAC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color w:val="000000"/>
                <w:kern w:val="2"/>
                <w:sz w:val="21"/>
                <w:szCs w:val="21"/>
                <w:lang w:val="en-US" w:eastAsia="zh-CN" w:bidi="ar-SA"/>
              </w:rPr>
            </w:pPr>
          </w:p>
        </w:tc>
        <w:tc>
          <w:tcPr>
            <w:tcW w:w="318" w:type="pct"/>
            <w:noWrap w:val="0"/>
            <w:tcMar>
              <w:left w:w="57" w:type="dxa"/>
              <w:right w:w="57" w:type="dxa"/>
            </w:tcMar>
            <w:vAlign w:val="center"/>
          </w:tcPr>
          <w:p w14:paraId="23D00094">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630" w:type="pct"/>
            <w:noWrap w:val="0"/>
            <w:tcMar>
              <w:left w:w="57" w:type="dxa"/>
              <w:right w:w="57" w:type="dxa"/>
            </w:tcMar>
            <w:vAlign w:val="center"/>
          </w:tcPr>
          <w:p w14:paraId="24BEAD07">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276" w:type="pct"/>
            <w:noWrap w:val="0"/>
            <w:tcMar>
              <w:left w:w="57" w:type="dxa"/>
              <w:right w:w="57" w:type="dxa"/>
            </w:tcMar>
            <w:vAlign w:val="center"/>
          </w:tcPr>
          <w:p w14:paraId="1B0DF183">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355" w:type="pct"/>
            <w:gridSpan w:val="2"/>
            <w:noWrap w:val="0"/>
            <w:tcMar>
              <w:left w:w="57" w:type="dxa"/>
              <w:right w:w="57" w:type="dxa"/>
            </w:tcMar>
            <w:vAlign w:val="center"/>
          </w:tcPr>
          <w:p w14:paraId="21E5A591">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339" w:type="pct"/>
            <w:gridSpan w:val="2"/>
            <w:noWrap w:val="0"/>
            <w:tcMar>
              <w:left w:w="57" w:type="dxa"/>
              <w:right w:w="57" w:type="dxa"/>
            </w:tcMar>
            <w:vAlign w:val="center"/>
          </w:tcPr>
          <w:p w14:paraId="45E7ED9A">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502" w:type="pct"/>
            <w:noWrap w:val="0"/>
            <w:tcMar>
              <w:left w:w="57" w:type="dxa"/>
              <w:right w:w="57" w:type="dxa"/>
            </w:tcMar>
            <w:vAlign w:val="center"/>
          </w:tcPr>
          <w:p w14:paraId="0DC3CCC6">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r>
      <w:tr w14:paraId="0EB238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0" w:hRule="atLeast"/>
          <w:jc w:val="center"/>
        </w:trPr>
        <w:tc>
          <w:tcPr>
            <w:tcW w:w="137" w:type="pct"/>
            <w:gridSpan w:val="2"/>
            <w:vMerge w:val="continue"/>
            <w:noWrap w:val="0"/>
            <w:tcMar>
              <w:left w:w="57" w:type="dxa"/>
              <w:right w:w="57" w:type="dxa"/>
            </w:tcMar>
            <w:vAlign w:val="center"/>
          </w:tcPr>
          <w:p w14:paraId="775D7C7B">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p>
        </w:tc>
        <w:tc>
          <w:tcPr>
            <w:tcW w:w="388" w:type="pct"/>
            <w:noWrap w:val="0"/>
            <w:tcMar>
              <w:left w:w="57" w:type="dxa"/>
              <w:right w:w="57" w:type="dxa"/>
            </w:tcMar>
            <w:vAlign w:val="center"/>
          </w:tcPr>
          <w:p w14:paraId="44936E61">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与项目有关的其他特征污染物</w:t>
            </w:r>
          </w:p>
        </w:tc>
        <w:tc>
          <w:tcPr>
            <w:tcW w:w="142" w:type="pct"/>
            <w:noWrap w:val="0"/>
            <w:tcMar>
              <w:left w:w="57" w:type="dxa"/>
              <w:right w:w="57" w:type="dxa"/>
            </w:tcMar>
            <w:vAlign w:val="center"/>
          </w:tcPr>
          <w:p w14:paraId="047A2A6B">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color w:val="000000"/>
                <w:sz w:val="21"/>
                <w:szCs w:val="21"/>
                <w:lang w:val="en-US" w:eastAsia="zh-CN"/>
              </w:rPr>
            </w:pPr>
          </w:p>
        </w:tc>
        <w:tc>
          <w:tcPr>
            <w:tcW w:w="238" w:type="pct"/>
            <w:noWrap w:val="0"/>
            <w:tcMar>
              <w:left w:w="57" w:type="dxa"/>
              <w:right w:w="57" w:type="dxa"/>
            </w:tcMar>
            <w:vAlign w:val="center"/>
          </w:tcPr>
          <w:p w14:paraId="4334E21B">
            <w:pPr>
              <w:jc w:val="center"/>
              <w:rPr>
                <w:rFonts w:hint="eastAsia" w:ascii="宋体" w:hAnsi="宋体" w:eastAsia="宋体" w:cs="宋体"/>
                <w:b w:val="0"/>
                <w:bCs/>
                <w:color w:val="000000"/>
                <w:kern w:val="2"/>
                <w:sz w:val="21"/>
                <w:szCs w:val="21"/>
                <w:lang w:val="en-US" w:eastAsia="zh-CN" w:bidi="ar-SA"/>
              </w:rPr>
            </w:pPr>
          </w:p>
        </w:tc>
        <w:tc>
          <w:tcPr>
            <w:tcW w:w="411" w:type="pct"/>
            <w:noWrap w:val="0"/>
            <w:tcMar>
              <w:left w:w="57" w:type="dxa"/>
              <w:right w:w="57" w:type="dxa"/>
            </w:tcMar>
            <w:vAlign w:val="center"/>
          </w:tcPr>
          <w:p w14:paraId="776D2A64">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322" w:type="pct"/>
            <w:noWrap w:val="0"/>
            <w:tcMar>
              <w:left w:w="57" w:type="dxa"/>
              <w:right w:w="57" w:type="dxa"/>
            </w:tcMar>
            <w:vAlign w:val="center"/>
          </w:tcPr>
          <w:p w14:paraId="200A4B09">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292" w:type="pct"/>
            <w:noWrap w:val="0"/>
            <w:tcMar>
              <w:left w:w="57" w:type="dxa"/>
              <w:right w:w="57" w:type="dxa"/>
            </w:tcMar>
            <w:vAlign w:val="center"/>
          </w:tcPr>
          <w:p w14:paraId="406ADBF9">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307" w:type="pct"/>
            <w:gridSpan w:val="2"/>
            <w:noWrap w:val="0"/>
            <w:tcMar>
              <w:left w:w="57" w:type="dxa"/>
              <w:right w:w="57" w:type="dxa"/>
            </w:tcMar>
            <w:vAlign w:val="center"/>
          </w:tcPr>
          <w:p w14:paraId="0AF3717A">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335" w:type="pct"/>
            <w:noWrap w:val="0"/>
            <w:tcMar>
              <w:left w:w="57" w:type="dxa"/>
              <w:right w:w="57" w:type="dxa"/>
            </w:tcMar>
            <w:vAlign w:val="center"/>
          </w:tcPr>
          <w:p w14:paraId="3A2AF352">
            <w:pPr>
              <w:pStyle w:val="37"/>
              <w:keepNext w:val="0"/>
              <w:keepLines w:val="0"/>
              <w:pageBreakBefore w:val="0"/>
              <w:kinsoku/>
              <w:wordWrap/>
              <w:overflowPunct/>
              <w:topLinePunct w:val="0"/>
              <w:autoSpaceDE/>
              <w:autoSpaceDN/>
              <w:bidi w:val="0"/>
              <w:snapToGrid w:val="0"/>
              <w:spacing w:line="240" w:lineRule="auto"/>
              <w:textAlignment w:val="auto"/>
              <w:rPr>
                <w:rFonts w:hint="eastAsia" w:ascii="宋体" w:hAnsi="宋体" w:eastAsia="宋体" w:cs="宋体"/>
                <w:b w:val="0"/>
                <w:bCs/>
                <w:color w:val="000000"/>
                <w:kern w:val="2"/>
                <w:sz w:val="21"/>
                <w:szCs w:val="21"/>
                <w:lang w:val="en-US" w:eastAsia="zh-CN" w:bidi="ar-SA"/>
              </w:rPr>
            </w:pPr>
          </w:p>
        </w:tc>
        <w:tc>
          <w:tcPr>
            <w:tcW w:w="318" w:type="pct"/>
            <w:noWrap w:val="0"/>
            <w:tcMar>
              <w:left w:w="57" w:type="dxa"/>
              <w:right w:w="57" w:type="dxa"/>
            </w:tcMar>
            <w:vAlign w:val="center"/>
          </w:tcPr>
          <w:p w14:paraId="335E5160">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rPr>
            </w:pPr>
          </w:p>
        </w:tc>
        <w:tc>
          <w:tcPr>
            <w:tcW w:w="630" w:type="pct"/>
            <w:noWrap w:val="0"/>
            <w:tcMar>
              <w:left w:w="57" w:type="dxa"/>
              <w:right w:w="57" w:type="dxa"/>
            </w:tcMar>
            <w:vAlign w:val="center"/>
          </w:tcPr>
          <w:p w14:paraId="7C9CFB35">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276" w:type="pct"/>
            <w:noWrap w:val="0"/>
            <w:tcMar>
              <w:left w:w="57" w:type="dxa"/>
              <w:right w:w="57" w:type="dxa"/>
            </w:tcMar>
            <w:vAlign w:val="center"/>
          </w:tcPr>
          <w:p w14:paraId="6D19E8EF">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lang w:val="en-US" w:eastAsia="zh-CN"/>
              </w:rPr>
            </w:pPr>
          </w:p>
        </w:tc>
        <w:tc>
          <w:tcPr>
            <w:tcW w:w="355" w:type="pct"/>
            <w:gridSpan w:val="2"/>
            <w:noWrap w:val="0"/>
            <w:tcMar>
              <w:left w:w="57" w:type="dxa"/>
              <w:right w:w="57" w:type="dxa"/>
            </w:tcMar>
            <w:vAlign w:val="center"/>
          </w:tcPr>
          <w:p w14:paraId="7DFE2BC7">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rPr>
            </w:pPr>
          </w:p>
        </w:tc>
        <w:tc>
          <w:tcPr>
            <w:tcW w:w="339" w:type="pct"/>
            <w:gridSpan w:val="2"/>
            <w:noWrap w:val="0"/>
            <w:tcMar>
              <w:left w:w="57" w:type="dxa"/>
              <w:right w:w="57" w:type="dxa"/>
            </w:tcMar>
            <w:vAlign w:val="center"/>
          </w:tcPr>
          <w:p w14:paraId="1CCEA4C2">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b w:val="0"/>
                <w:bCs/>
                <w:color w:val="000000"/>
                <w:sz w:val="21"/>
                <w:szCs w:val="21"/>
              </w:rPr>
            </w:pPr>
          </w:p>
        </w:tc>
        <w:tc>
          <w:tcPr>
            <w:tcW w:w="502" w:type="pct"/>
            <w:noWrap w:val="0"/>
            <w:tcMar>
              <w:left w:w="57" w:type="dxa"/>
              <w:right w:w="57" w:type="dxa"/>
            </w:tcMar>
            <w:vAlign w:val="center"/>
          </w:tcPr>
          <w:p w14:paraId="61BBAD81">
            <w:pPr>
              <w:pStyle w:val="37"/>
              <w:keepNext w:val="0"/>
              <w:keepLines w:val="0"/>
              <w:pageBreakBefore w:val="0"/>
              <w:kinsoku/>
              <w:wordWrap/>
              <w:overflowPunct/>
              <w:topLinePunct w:val="0"/>
              <w:autoSpaceDE/>
              <w:autoSpaceDN/>
              <w:bidi w:val="0"/>
              <w:snapToGrid w:val="0"/>
              <w:spacing w:line="240" w:lineRule="auto"/>
              <w:textAlignment w:val="auto"/>
              <w:rPr>
                <w:rFonts w:hint="eastAsia" w:ascii="宋体" w:hAnsi="宋体" w:eastAsia="宋体" w:cs="宋体"/>
                <w:b w:val="0"/>
                <w:bCs/>
                <w:color w:val="000000"/>
                <w:sz w:val="21"/>
                <w:szCs w:val="21"/>
                <w:lang w:val="en-US"/>
              </w:rPr>
            </w:pPr>
          </w:p>
        </w:tc>
      </w:tr>
    </w:tbl>
    <w:p w14:paraId="16051212">
      <w:pPr>
        <w:ind w:firstLine="361"/>
        <w:rPr>
          <w:rFonts w:hint="eastAsia" w:ascii="宋体" w:hAnsi="宋体" w:eastAsia="宋体" w:cs="宋体"/>
          <w:b/>
          <w:bCs/>
          <w:color w:val="000000"/>
          <w:kern w:val="0"/>
          <w:sz w:val="32"/>
          <w:szCs w:val="32"/>
          <w:lang w:val="en-US" w:eastAsia="zh-CN" w:bidi="ar"/>
        </w:rPr>
      </w:pPr>
      <w:r>
        <w:rPr>
          <w:rFonts w:hint="eastAsia" w:ascii="宋体" w:hAnsi="宋体" w:eastAsia="宋体" w:cs="宋体"/>
          <w:b/>
          <w:color w:val="000000"/>
          <w:sz w:val="18"/>
          <w:szCs w:val="18"/>
        </w:rPr>
        <w:t>注</w:t>
      </w:r>
      <w:r>
        <w:rPr>
          <w:rFonts w:hint="eastAsia" w:ascii="宋体" w:hAnsi="宋体" w:eastAsia="宋体" w:cs="宋体"/>
          <w:color w:val="000000"/>
          <w:sz w:val="18"/>
          <w:szCs w:val="18"/>
        </w:rPr>
        <w:t>：1、</w:t>
      </w:r>
      <w:r>
        <w:rPr>
          <w:rFonts w:hint="eastAsia" w:ascii="宋体" w:hAnsi="宋体" w:eastAsia="宋体" w:cs="宋体"/>
          <w:color w:val="000000"/>
          <w:spacing w:val="-4"/>
          <w:sz w:val="18"/>
          <w:szCs w:val="18"/>
        </w:rPr>
        <w:t>排放增减量：（+）表示增加，（-）表示减少。2、(12)=(6)-(8)-(11)，（9）= (4)-(5)-(8)- (11) +（1）。3、计量单位：废水排放量——万吨/年；废气排放量——万标立方米/年；工业固体废物排放</w:t>
      </w:r>
      <w:r>
        <w:rPr>
          <w:rFonts w:hint="eastAsia" w:ascii="宋体" w:hAnsi="宋体" w:eastAsia="宋体" w:cs="宋体"/>
          <w:color w:val="000000"/>
          <w:sz w:val="18"/>
          <w:szCs w:val="18"/>
        </w:rPr>
        <w:t>量——万吨/年；水污染物排放浓度——毫克/升</w:t>
      </w:r>
    </w:p>
    <w:p w14:paraId="77DFFCEA">
      <w:pPr>
        <w:pStyle w:val="2"/>
        <w:ind w:left="0" w:leftChars="0" w:firstLine="0" w:firstLineChars="0"/>
        <w:rPr>
          <w:rFonts w:hint="default"/>
          <w:lang w:val="en-US" w:eastAsia="zh-CN"/>
        </w:rPr>
      </w:pPr>
    </w:p>
    <w:sectPr>
      <w:pgSz w:w="23811" w:h="16838" w:orient="landscape"/>
      <w:pgMar w:top="1800" w:right="1440" w:bottom="1800" w:left="1440" w:header="1191" w:footer="1247" w:gutter="0"/>
      <w:pgBorders w:offsetFrom="page">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Wingdings 2">
    <w:altName w:val="Wingdings"/>
    <w:panose1 w:val="05020102010507070707"/>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A4030">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F2BB59">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7495F">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ECBD84">
                          <w:pPr>
                            <w:pStyle w:val="11"/>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47ECBD84">
                    <w:pPr>
                      <w:pStyle w:val="11"/>
                    </w:pPr>
                    <w:r>
                      <w:fldChar w:fldCharType="begin"/>
                    </w:r>
                    <w:r>
                      <w:instrText xml:space="preserve"> PAGE  \* MERGEFORMAT </w:instrText>
                    </w:r>
                    <w:r>
                      <w:fldChar w:fldCharType="separate"/>
                    </w:r>
                    <w:r>
                      <w:t>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AB8A5">
    <w:pPr>
      <w:pStyle w:val="1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341C8">
    <w:pPr>
      <w:pStyle w:val="12"/>
      <w:rPr>
        <w:rFonts w:hint="eastAsia" w:ascii="仿宋" w:hAnsi="仿宋" w:eastAsia="仿宋" w:cs="仿宋"/>
        <w:b/>
        <w:lang w:eastAsia="zh-CN"/>
      </w:rPr>
    </w:pPr>
    <w:r>
      <w:rPr>
        <w:rFonts w:hint="eastAsia" w:ascii="仿宋" w:hAnsi="仿宋" w:eastAsia="仿宋" w:cs="仿宋"/>
        <w:b/>
        <w:lang w:eastAsia="zh-CN"/>
      </w:rPr>
      <w:t>和县经济开发区污水处理厂及配套管网工程项目一期二阶段竣工环境保护验收监测报告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F1D2C"/>
    <w:rsid w:val="01B819A4"/>
    <w:rsid w:val="0463508D"/>
    <w:rsid w:val="12154A1A"/>
    <w:rsid w:val="12C813AD"/>
    <w:rsid w:val="1B8944E4"/>
    <w:rsid w:val="1D8438B9"/>
    <w:rsid w:val="1E2D0457"/>
    <w:rsid w:val="286E7764"/>
    <w:rsid w:val="2A267D48"/>
    <w:rsid w:val="2C377EE4"/>
    <w:rsid w:val="33F53F9F"/>
    <w:rsid w:val="48F036C4"/>
    <w:rsid w:val="4A463AC2"/>
    <w:rsid w:val="4A804742"/>
    <w:rsid w:val="4D9B1FCE"/>
    <w:rsid w:val="6C3A1348"/>
    <w:rsid w:val="75FA070B"/>
    <w:rsid w:val="7A261D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宋体"/>
      <w:kern w:val="2"/>
      <w:sz w:val="24"/>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line="360" w:lineRule="auto"/>
      <w:outlineLvl w:val="1"/>
    </w:pPr>
    <w:rPr>
      <w:rFonts w:ascii="宋体" w:hAnsi="宋体"/>
      <w:b/>
      <w:bCs/>
      <w:sz w:val="32"/>
      <w:szCs w:val="32"/>
    </w:rPr>
  </w:style>
  <w:style w:type="paragraph" w:styleId="5">
    <w:name w:val="heading 3"/>
    <w:basedOn w:val="1"/>
    <w:next w:val="1"/>
    <w:qFormat/>
    <w:uiPriority w:val="0"/>
    <w:pPr>
      <w:keepNext/>
      <w:keepLines/>
      <w:spacing w:line="600" w:lineRule="auto"/>
      <w:outlineLvl w:val="2"/>
    </w:pPr>
    <w:rPr>
      <w:rFonts w:ascii="仿宋" w:hAnsi="仿宋"/>
      <w:b/>
      <w:bCs/>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Body Text Indent 2"/>
    <w:basedOn w:val="1"/>
    <w:qFormat/>
    <w:uiPriority w:val="0"/>
    <w:pPr>
      <w:spacing w:after="120" w:line="480" w:lineRule="auto"/>
      <w:ind w:left="420" w:leftChars="200"/>
    </w:pPr>
  </w:style>
  <w:style w:type="paragraph" w:styleId="6">
    <w:name w:val="Normal Indent"/>
    <w:basedOn w:val="1"/>
    <w:qFormat/>
    <w:uiPriority w:val="0"/>
    <w:pPr>
      <w:spacing w:line="360" w:lineRule="auto"/>
      <w:ind w:firstLine="643" w:firstLineChars="200"/>
    </w:pPr>
    <w:rPr>
      <w:rFonts w:ascii="宋体" w:hAnsi="宋体"/>
      <w:szCs w:val="20"/>
    </w:rPr>
  </w:style>
  <w:style w:type="paragraph" w:styleId="7">
    <w:name w:val="Salutation"/>
    <w:basedOn w:val="1"/>
    <w:next w:val="1"/>
    <w:qFormat/>
    <w:uiPriority w:val="0"/>
  </w:style>
  <w:style w:type="paragraph" w:styleId="8">
    <w:name w:val="Body Text"/>
    <w:basedOn w:val="1"/>
    <w:next w:val="7"/>
    <w:qFormat/>
    <w:uiPriority w:val="0"/>
    <w:pPr>
      <w:spacing w:line="480" w:lineRule="exact"/>
    </w:pPr>
    <w:rPr>
      <w:b/>
      <w:bCs/>
      <w:sz w:val="28"/>
      <w:szCs w:val="20"/>
    </w:rPr>
  </w:style>
  <w:style w:type="paragraph" w:styleId="9">
    <w:name w:val="Body Text Indent"/>
    <w:basedOn w:val="1"/>
    <w:next w:val="2"/>
    <w:qFormat/>
    <w:uiPriority w:val="0"/>
    <w:pPr>
      <w:spacing w:after="120"/>
      <w:ind w:left="420" w:leftChars="200"/>
    </w:pPr>
    <w:rPr>
      <w:kern w:val="0"/>
      <w:sz w:val="24"/>
      <w:szCs w:val="20"/>
    </w:rPr>
  </w:style>
  <w:style w:type="paragraph" w:styleId="10">
    <w:name w:val="toc 3"/>
    <w:basedOn w:val="1"/>
    <w:next w:val="1"/>
    <w:qFormat/>
    <w:uiPriority w:val="0"/>
    <w:pPr>
      <w:ind w:left="840" w:leftChars="400"/>
    </w:p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paragraph" w:styleId="15">
    <w:name w:val="toc 9"/>
    <w:basedOn w:val="1"/>
    <w:next w:val="1"/>
    <w:semiHidden/>
    <w:qFormat/>
    <w:uiPriority w:val="0"/>
    <w:pPr>
      <w:ind w:left="1680" w:firstLine="200" w:firstLineChars="200"/>
      <w:jc w:val="left"/>
    </w:pPr>
    <w:rPr>
      <w:rFonts w:eastAsia="仿宋_GB2312"/>
      <w:color w:val="auto"/>
      <w:sz w:val="18"/>
      <w:szCs w:val="18"/>
    </w:rPr>
  </w:style>
  <w:style w:type="paragraph" w:styleId="16">
    <w:name w:val="Body Text 2"/>
    <w:basedOn w:val="1"/>
    <w:qFormat/>
    <w:uiPriority w:val="0"/>
    <w:pPr>
      <w:spacing w:before="312" w:line="560" w:lineRule="exact"/>
    </w:pPr>
    <w:rPr>
      <w:rFonts w:eastAsia="黑体"/>
      <w:sz w:val="28"/>
      <w:szCs w:val="20"/>
    </w:rPr>
  </w:style>
  <w:style w:type="paragraph" w:styleId="17">
    <w:name w:val="Body Text First Indent"/>
    <w:basedOn w:val="8"/>
    <w:qFormat/>
    <w:uiPriority w:val="0"/>
    <w:pPr>
      <w:spacing w:after="120" w:line="240" w:lineRule="auto"/>
      <w:ind w:firstLine="420" w:firstLineChars="100"/>
    </w:pPr>
    <w:rPr>
      <w:b w:val="0"/>
      <w:bCs w:val="0"/>
      <w:sz w:val="21"/>
      <w:szCs w:val="24"/>
    </w:rPr>
  </w:style>
  <w:style w:type="paragraph" w:styleId="18">
    <w:name w:val="Body Text First Indent 2"/>
    <w:basedOn w:val="9"/>
    <w:next w:val="1"/>
    <w:unhideWhenUsed/>
    <w:qFormat/>
    <w:uiPriority w:val="99"/>
    <w:pPr>
      <w:ind w:firstLine="420"/>
    </w:p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basedOn w:val="21"/>
    <w:qFormat/>
    <w:uiPriority w:val="0"/>
    <w:rPr>
      <w:color w:val="0000FF"/>
      <w:u w:val="single"/>
    </w:rPr>
  </w:style>
  <w:style w:type="character" w:customStyle="1" w:styleId="23">
    <w:name w:val="font51"/>
    <w:basedOn w:val="21"/>
    <w:qFormat/>
    <w:uiPriority w:val="0"/>
    <w:rPr>
      <w:rFonts w:ascii="宋体" w:hAnsi="宋体" w:eastAsia="宋体" w:cs="宋体"/>
      <w:color w:val="000000"/>
      <w:sz w:val="14"/>
      <w:szCs w:val="14"/>
      <w:u w:val="none"/>
    </w:rPr>
  </w:style>
  <w:style w:type="character" w:customStyle="1" w:styleId="24">
    <w:name w:val="font21"/>
    <w:basedOn w:val="21"/>
    <w:qFormat/>
    <w:uiPriority w:val="0"/>
    <w:rPr>
      <w:rFonts w:ascii="宋体" w:hAnsi="宋体" w:eastAsia="宋体" w:cs="宋体"/>
      <w:color w:val="7F706B"/>
      <w:sz w:val="14"/>
      <w:szCs w:val="14"/>
      <w:u w:val="none"/>
    </w:rPr>
  </w:style>
  <w:style w:type="character" w:customStyle="1" w:styleId="25">
    <w:name w:val="font31"/>
    <w:basedOn w:val="21"/>
    <w:qFormat/>
    <w:uiPriority w:val="0"/>
    <w:rPr>
      <w:rFonts w:ascii="宋体" w:hAnsi="宋体" w:eastAsia="宋体" w:cs="宋体"/>
      <w:color w:val="75626C"/>
      <w:sz w:val="14"/>
      <w:szCs w:val="14"/>
      <w:u w:val="none"/>
    </w:rPr>
  </w:style>
  <w:style w:type="character" w:customStyle="1" w:styleId="26">
    <w:name w:val="font41"/>
    <w:basedOn w:val="21"/>
    <w:qFormat/>
    <w:uiPriority w:val="0"/>
    <w:rPr>
      <w:rFonts w:ascii="宋体" w:hAnsi="宋体" w:eastAsia="宋体" w:cs="宋体"/>
      <w:color w:val="002291"/>
      <w:sz w:val="14"/>
      <w:szCs w:val="14"/>
      <w:u w:val="none"/>
    </w:rPr>
  </w:style>
  <w:style w:type="character" w:customStyle="1" w:styleId="27">
    <w:name w:val="font11"/>
    <w:basedOn w:val="21"/>
    <w:qFormat/>
    <w:uiPriority w:val="0"/>
    <w:rPr>
      <w:rFonts w:ascii="宋体" w:hAnsi="宋体" w:eastAsia="宋体" w:cs="宋体"/>
      <w:color w:val="8B000E"/>
      <w:sz w:val="14"/>
      <w:szCs w:val="14"/>
      <w:u w:val="none"/>
    </w:rPr>
  </w:style>
  <w:style w:type="character" w:customStyle="1" w:styleId="28">
    <w:name w:val="font81"/>
    <w:basedOn w:val="21"/>
    <w:qFormat/>
    <w:uiPriority w:val="0"/>
    <w:rPr>
      <w:rFonts w:ascii="宋体" w:hAnsi="宋体" w:eastAsia="宋体" w:cs="宋体"/>
      <w:color w:val="000000"/>
      <w:sz w:val="14"/>
      <w:szCs w:val="14"/>
      <w:u w:val="none"/>
    </w:rPr>
  </w:style>
  <w:style w:type="character" w:customStyle="1" w:styleId="29">
    <w:name w:val="font61"/>
    <w:basedOn w:val="21"/>
    <w:qFormat/>
    <w:uiPriority w:val="0"/>
    <w:rPr>
      <w:rFonts w:ascii="宋体" w:hAnsi="宋体" w:eastAsia="宋体" w:cs="宋体"/>
      <w:color w:val="902600"/>
      <w:sz w:val="14"/>
      <w:szCs w:val="14"/>
      <w:u w:val="none"/>
    </w:rPr>
  </w:style>
  <w:style w:type="character" w:customStyle="1" w:styleId="30">
    <w:name w:val="font71"/>
    <w:basedOn w:val="21"/>
    <w:qFormat/>
    <w:uiPriority w:val="0"/>
    <w:rPr>
      <w:rFonts w:ascii="宋体" w:hAnsi="宋体" w:eastAsia="宋体" w:cs="宋体"/>
      <w:color w:val="00058C"/>
      <w:sz w:val="14"/>
      <w:szCs w:val="14"/>
      <w:u w:val="none"/>
    </w:rPr>
  </w:style>
  <w:style w:type="table" w:customStyle="1" w:styleId="31">
    <w:name w:val="Table Normal"/>
    <w:semiHidden/>
    <w:unhideWhenUsed/>
    <w:qFormat/>
    <w:uiPriority w:val="0"/>
    <w:tblPr>
      <w:tblCellMar>
        <w:top w:w="0" w:type="dxa"/>
        <w:left w:w="0" w:type="dxa"/>
        <w:bottom w:w="0" w:type="dxa"/>
        <w:right w:w="0" w:type="dxa"/>
      </w:tblCellMar>
    </w:tblPr>
  </w:style>
  <w:style w:type="paragraph" w:customStyle="1" w:styleId="32">
    <w:name w:val="Table Text"/>
    <w:basedOn w:val="1"/>
    <w:semiHidden/>
    <w:qFormat/>
    <w:uiPriority w:val="0"/>
    <w:rPr>
      <w:rFonts w:ascii="Arial" w:hAnsi="Arial" w:eastAsia="Arial" w:cs="Arial"/>
      <w:sz w:val="21"/>
      <w:szCs w:val="21"/>
      <w:lang w:val="en-US" w:eastAsia="en-US" w:bidi="ar-SA"/>
    </w:rPr>
  </w:style>
  <w:style w:type="character" w:customStyle="1" w:styleId="33">
    <w:name w:val="font91"/>
    <w:basedOn w:val="21"/>
    <w:qFormat/>
    <w:uiPriority w:val="0"/>
    <w:rPr>
      <w:rFonts w:ascii="Calibri" w:hAnsi="Calibri" w:cs="Calibri"/>
      <w:color w:val="000000"/>
      <w:sz w:val="14"/>
      <w:szCs w:val="14"/>
      <w:u w:val="none"/>
    </w:rPr>
  </w:style>
  <w:style w:type="paragraph" w:customStyle="1" w:styleId="34">
    <w:name w:val="表体"/>
    <w:qFormat/>
    <w:uiPriority w:val="0"/>
    <w:pPr>
      <w:spacing w:before="40" w:after="40"/>
      <w:jc w:val="center"/>
    </w:pPr>
    <w:rPr>
      <w:rFonts w:ascii="宋体" w:hAnsi="Times New Roman" w:eastAsia="宋体" w:cs="Times New Roman"/>
      <w:color w:val="000080"/>
      <w:kern w:val="2"/>
      <w:sz w:val="21"/>
      <w:szCs w:val="24"/>
      <w:lang w:val="en-US" w:eastAsia="zh-CN" w:bidi="ar-SA"/>
    </w:rPr>
  </w:style>
  <w:style w:type="paragraph" w:customStyle="1" w:styleId="35">
    <w:name w:val="表头"/>
    <w:basedOn w:val="17"/>
    <w:qFormat/>
    <w:uiPriority w:val="0"/>
    <w:pPr>
      <w:overflowPunct w:val="0"/>
      <w:autoSpaceDE w:val="0"/>
      <w:autoSpaceDN w:val="0"/>
      <w:adjustRightInd w:val="0"/>
      <w:spacing w:before="60" w:after="60" w:line="240" w:lineRule="auto"/>
      <w:ind w:firstLine="0" w:firstLineChars="0"/>
      <w:jc w:val="center"/>
      <w:textAlignment w:val="baseline"/>
    </w:pPr>
    <w:rPr>
      <w:rFonts w:ascii="宋体" w:hAnsi="宋体"/>
      <w:b/>
      <w:kern w:val="0"/>
      <w:sz w:val="24"/>
      <w:szCs w:val="20"/>
    </w:rPr>
  </w:style>
  <w:style w:type="paragraph" w:customStyle="1" w:styleId="36">
    <w:name w:val="表格内容自定"/>
    <w:basedOn w:val="1"/>
    <w:qFormat/>
    <w:uiPriority w:val="0"/>
    <w:pPr>
      <w:spacing w:line="280" w:lineRule="exact"/>
      <w:jc w:val="center"/>
    </w:pPr>
    <w:rPr>
      <w:kern w:val="0"/>
      <w:sz w:val="18"/>
      <w:szCs w:val="21"/>
    </w:rPr>
  </w:style>
  <w:style w:type="paragraph" w:customStyle="1" w:styleId="37">
    <w:name w:val="表格正文"/>
    <w:basedOn w:val="1"/>
    <w:qFormat/>
    <w:uiPriority w:val="0"/>
    <w:pPr>
      <w:jc w:val="center"/>
    </w:pPr>
    <w:rPr>
      <w:rFonts w:ascii="仿宋_GB2312" w:eastAsia="仿宋_GB2312"/>
      <w:sz w:val="21"/>
    </w:rPr>
  </w:style>
  <w:style w:type="paragraph" w:customStyle="1" w:styleId="38">
    <w:name w:val="Default"/>
    <w:basedOn w:val="39"/>
    <w:next w:val="15"/>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39">
    <w:name w:val="标题2"/>
    <w:qFormat/>
    <w:uiPriority w:val="0"/>
    <w:pPr>
      <w:widowControl w:val="0"/>
      <w:spacing w:line="360" w:lineRule="auto"/>
      <w:jc w:val="both"/>
    </w:pPr>
    <w:rPr>
      <w:rFonts w:ascii="Times New Roman" w:hAnsi="Times New Roman" w:eastAsia="黑体" w:cs="Times New Roman"/>
      <w:b/>
      <w:bCs/>
      <w:kern w:val="2"/>
      <w:sz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73</Pages>
  <Words>35645</Words>
  <Characters>42987</Characters>
  <Lines>0</Lines>
  <Paragraphs>0</Paragraphs>
  <TotalTime>8</TotalTime>
  <ScaleCrop>false</ScaleCrop>
  <LinksUpToDate>false</LinksUpToDate>
  <CharactersWithSpaces>43669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2025-02-18T01:38:00Z</dcterms:created>
  <dc:creator>HM-38</dc:creator>
  <cp:lastModifiedBy>两脚超人</cp:lastModifiedBy>
  <dcterms:modified xsi:type="dcterms:W3CDTF">2025-03-29T03:13:16Z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eyJoZGlkIjoiMjdkMzQzMGFlN2JhMmRhODJiMjA2M2RhOWFiNjhhZjMiLCJ1c2VySWQiOiIzMTAxOTg0ODcifQ==</vt:lpwstr>
  </property>
  <property fmtid="{D5CDD505-2E9C-101B-9397-08002B2CF9AE}" pid="4" name="ICV">
    <vt:lpwstr>E203158C9D5B46F8B48A92E89E3CA2E9_12</vt:lpwstr>
  </property>
</Properties>
</file>